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8E1F04"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06306" w:rsidRDefault="008E1F04" w:rsidP="008E1F04">
                <w:pPr>
                  <w:suppressLineNumbers/>
                  <w:rPr>
                    <w:rFonts w:ascii="Arial" w:hAnsi="Arial"/>
                    <w:b/>
                    <w:bCs/>
                    <w:noProof w:val="0"/>
                    <w:sz w:val="26"/>
                    <w:szCs w:val="26"/>
                    <w:rtl/>
                  </w:rPr>
                </w:pPr>
                <w:r>
                  <w:rPr>
                    <w:rFonts w:ascii="Arial" w:hAnsi="Arial" w:hint="cs"/>
                    <w:b/>
                    <w:bCs/>
                    <w:noProof w:val="0"/>
                    <w:sz w:val="26"/>
                    <w:szCs w:val="26"/>
                    <w:rtl/>
                  </w:rPr>
                  <w:t>ה</w:t>
                </w:r>
                <w:r w:rsidR="00227AC3">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8E1F04"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r w:rsidR="008E1F04">
                  <w:rPr>
                    <w:rFonts w:ascii="Arial" w:hAnsi="Arial" w:hint="cs"/>
                    <w:b/>
                    <w:bCs/>
                    <w:noProof w:val="0"/>
                    <w:sz w:val="26"/>
                    <w:szCs w:val="26"/>
                    <w:rtl/>
                  </w:rPr>
                  <w:t>ת</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8E1F04">
              <w:rPr>
                <w:rFonts w:hint="cs"/>
                <w:b/>
                <w:bCs/>
                <w:noProof w:val="0"/>
                <w:sz w:val="26"/>
                <w:szCs w:val="26"/>
                <w:rtl/>
              </w:rPr>
              <w:t xml:space="preserve"> קרן ברק ומרק לייזרוביץ'</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8516EF" w:rsidP="008E1F04">
            <w:pPr>
              <w:suppressLineNumbers/>
              <w:rPr>
                <w:rFonts w:ascii="Arial" w:hAnsi="Arial"/>
                <w:b/>
                <w:bCs/>
                <w:noProof w:val="0"/>
                <w:sz w:val="26"/>
                <w:szCs w:val="26"/>
              </w:rPr>
            </w:pPr>
            <w:sdt>
              <w:sdtPr>
                <w:rPr>
                  <w:rtl/>
                </w:rPr>
                <w:alias w:val="1184"/>
                <w:tag w:val="1184"/>
                <w:id w:val="-340621022"/>
                <w:text w:multiLine="1"/>
              </w:sdtPr>
              <w:sdtEndPr/>
              <w:sdtContent>
                <w:r w:rsidR="008E1F04">
                  <w:rPr>
                    <w:rFonts w:ascii="Arial" w:hAnsi="Arial" w:hint="cs"/>
                    <w:b/>
                    <w:bCs/>
                    <w:noProof w:val="0"/>
                    <w:sz w:val="26"/>
                    <w:szCs w:val="26"/>
                    <w:rtl/>
                  </w:rPr>
                  <w:t>ה</w:t>
                </w:r>
                <w:r w:rsidR="00B859C5">
                  <w:rPr>
                    <w:rFonts w:ascii="Arial" w:hAnsi="Arial"/>
                    <w:b/>
                    <w:bCs/>
                    <w:noProof w:val="0"/>
                    <w:sz w:val="26"/>
                    <w:szCs w:val="26"/>
                    <w:rtl/>
                  </w:rPr>
                  <w:t>נתבע</w:t>
                </w:r>
              </w:sdtContent>
            </w:sdt>
          </w:p>
        </w:tc>
        <w:tc>
          <w:tcPr>
            <w:tcW w:w="5571" w:type="dxa"/>
          </w:tcPr>
          <w:p w:rsidR="008E1F04"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שלמה הראל (אסיר)</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8E1F04">
              <w:rPr>
                <w:rFonts w:hint="cs"/>
                <w:rtl/>
              </w:rPr>
              <w:t xml:space="preserve"> </w:t>
            </w:r>
            <w:r w:rsidR="008E1F04" w:rsidRPr="008E1F04">
              <w:rPr>
                <w:rFonts w:hint="cs"/>
                <w:b/>
                <w:bCs/>
                <w:rtl/>
              </w:rPr>
              <w:t>תומר ברזיק</w:t>
            </w:r>
          </w:p>
        </w:tc>
      </w:tr>
      <w:tr w:rsidR="00CF6BB7" w:rsidTr="00E7486E">
        <w:trPr>
          <w:trHeight w:val="253"/>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8516EF"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8516EF"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E7486E">
        <w:trPr>
          <w:trHeight w:val="80"/>
          <w:jc w:val="center"/>
        </w:trPr>
        <w:tc>
          <w:tcPr>
            <w:tcW w:w="8820" w:type="dxa"/>
            <w:gridSpan w:val="3"/>
          </w:tcPr>
          <w:p w:rsidR="00B06306" w:rsidRDefault="00B06306">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8E1F04" w:rsidRDefault="008E1F04" w:rsidP="008E1F04">
      <w:pPr>
        <w:rPr>
          <w:rFonts w:ascii="David" w:hAnsi="David"/>
          <w:noProof w:val="0"/>
          <w:sz w:val="26"/>
          <w:szCs w:val="26"/>
        </w:rPr>
      </w:pPr>
      <w:bookmarkStart w:id="1" w:name="NGCSBookmark"/>
      <w:bookmarkEnd w:id="1"/>
    </w:p>
    <w:p w:rsidR="008E1F04" w:rsidRDefault="008E1F04" w:rsidP="008E1F04">
      <w:pPr>
        <w:rPr>
          <w:rFonts w:ascii="David" w:hAnsi="David"/>
          <w:sz w:val="26"/>
          <w:szCs w:val="26"/>
          <w:rtl/>
        </w:rPr>
      </w:pPr>
    </w:p>
    <w:p w:rsidR="008E1F04" w:rsidRDefault="008E1F04" w:rsidP="008E1F04">
      <w:pPr>
        <w:jc w:val="both"/>
        <w:rPr>
          <w:rFonts w:ascii="Arial" w:hAnsi="Arial"/>
          <w:b/>
          <w:bCs/>
          <w:sz w:val="26"/>
          <w:szCs w:val="26"/>
          <w:u w:val="single"/>
          <w:rtl/>
        </w:rPr>
      </w:pPr>
      <w:r>
        <w:rPr>
          <w:rFonts w:ascii="Arial" w:hAnsi="Arial"/>
          <w:b/>
          <w:bCs/>
          <w:sz w:val="26"/>
          <w:szCs w:val="26"/>
          <w:u w:val="single"/>
          <w:rtl/>
        </w:rPr>
        <w:t>מבוא</w:t>
      </w:r>
    </w:p>
    <w:p w:rsidR="003007AE" w:rsidRDefault="008E1F04" w:rsidP="003007AE">
      <w:pPr>
        <w:numPr>
          <w:ilvl w:val="0"/>
          <w:numId w:val="1"/>
        </w:numPr>
        <w:spacing w:line="360" w:lineRule="auto"/>
        <w:contextualSpacing/>
        <w:jc w:val="both"/>
        <w:rPr>
          <w:rFonts w:ascii="David" w:hAnsi="David"/>
          <w:sz w:val="26"/>
          <w:szCs w:val="26"/>
        </w:rPr>
      </w:pPr>
      <w:r>
        <w:rPr>
          <w:rFonts w:ascii="Arial" w:hAnsi="Arial"/>
          <w:sz w:val="26"/>
          <w:szCs w:val="26"/>
          <w:rtl/>
        </w:rPr>
        <w:t>תביעה לפיצוי בגין נזקי גוף</w:t>
      </w:r>
      <w:r>
        <w:rPr>
          <w:rFonts w:ascii="David" w:hAnsi="David"/>
          <w:sz w:val="26"/>
          <w:szCs w:val="26"/>
          <w:rtl/>
        </w:rPr>
        <w:t>,</w:t>
      </w:r>
      <w:r>
        <w:rPr>
          <w:rFonts w:ascii="David" w:hAnsi="David"/>
          <w:rtl/>
        </w:rPr>
        <w:t xml:space="preserve"> </w:t>
      </w:r>
      <w:r>
        <w:rPr>
          <w:rFonts w:ascii="Arial" w:hAnsi="Arial"/>
          <w:sz w:val="26"/>
          <w:szCs w:val="26"/>
          <w:rtl/>
        </w:rPr>
        <w:t xml:space="preserve">אשר הוגשה בעקבות הרשעתו של הנתבע בביצוע </w:t>
      </w:r>
      <w:r w:rsidR="003007AE">
        <w:rPr>
          <w:rFonts w:ascii="Arial" w:hAnsi="Arial" w:hint="cs"/>
          <w:sz w:val="26"/>
          <w:szCs w:val="26"/>
          <w:rtl/>
        </w:rPr>
        <w:t xml:space="preserve">אונס </w:t>
      </w:r>
      <w:r>
        <w:rPr>
          <w:rFonts w:ascii="Arial" w:hAnsi="Arial"/>
          <w:sz w:val="26"/>
          <w:szCs w:val="26"/>
          <w:rtl/>
        </w:rPr>
        <w:t xml:space="preserve"> </w:t>
      </w:r>
      <w:r w:rsidR="003007AE" w:rsidRPr="003007AE">
        <w:rPr>
          <w:rFonts w:ascii="David" w:hAnsi="David"/>
          <w:sz w:val="26"/>
          <w:szCs w:val="26"/>
          <w:rtl/>
        </w:rPr>
        <w:t xml:space="preserve">ועבירות מין אחרות בתובעת. </w:t>
      </w:r>
    </w:p>
    <w:p w:rsidR="00EC4693" w:rsidRPr="00CE74CD" w:rsidRDefault="003007AE" w:rsidP="00CE74CD">
      <w:pPr>
        <w:numPr>
          <w:ilvl w:val="0"/>
          <w:numId w:val="1"/>
        </w:numPr>
        <w:spacing w:line="360" w:lineRule="auto"/>
        <w:contextualSpacing/>
        <w:jc w:val="both"/>
        <w:rPr>
          <w:rFonts w:ascii="Arial" w:hAnsi="Arial"/>
          <w:sz w:val="26"/>
          <w:szCs w:val="26"/>
          <w:rtl/>
        </w:rPr>
      </w:pPr>
      <w:r w:rsidRPr="003007AE">
        <w:rPr>
          <w:rFonts w:ascii="David" w:hAnsi="David"/>
          <w:sz w:val="26"/>
          <w:szCs w:val="26"/>
          <w:rtl/>
        </w:rPr>
        <w:t xml:space="preserve">על פי המפורט בכתב התביעה, פנתה התובעת, ילידת 1993, אל הנתבע, מעסה במקצועו, כדי לקבל טיפול. במהלך הטיפול ביום </w:t>
      </w:r>
      <w:r w:rsidRPr="003007AE">
        <w:rPr>
          <w:sz w:val="26"/>
          <w:szCs w:val="26"/>
          <w:rtl/>
        </w:rPr>
        <w:t>28.5.18</w:t>
      </w:r>
      <w:r w:rsidRPr="003007AE">
        <w:rPr>
          <w:rFonts w:ascii="David" w:hAnsi="David"/>
          <w:sz w:val="26"/>
          <w:szCs w:val="26"/>
          <w:rtl/>
        </w:rPr>
        <w:t>, אנס הנתבע את התובעת, וביצע בה מעשים שונים</w:t>
      </w:r>
      <w:r>
        <w:rPr>
          <w:rFonts w:ascii="David" w:hAnsi="David" w:hint="cs"/>
          <w:sz w:val="26"/>
          <w:szCs w:val="26"/>
          <w:rtl/>
        </w:rPr>
        <w:t>.</w:t>
      </w:r>
      <w:r w:rsidR="00CE74CD">
        <w:rPr>
          <w:rFonts w:ascii="Arial" w:hAnsi="Arial" w:hint="cs"/>
          <w:sz w:val="26"/>
          <w:szCs w:val="26"/>
          <w:rtl/>
        </w:rPr>
        <w:t xml:space="preserve"> </w:t>
      </w:r>
      <w:r w:rsidR="008E1F04" w:rsidRPr="00CE74CD">
        <w:rPr>
          <w:rFonts w:ascii="David" w:hAnsi="David"/>
          <w:sz w:val="26"/>
          <w:szCs w:val="26"/>
          <w:rtl/>
        </w:rPr>
        <w:t xml:space="preserve">ביום </w:t>
      </w:r>
      <w:r w:rsidR="008E1F04" w:rsidRPr="00CE74CD">
        <w:rPr>
          <w:rFonts w:ascii="Arial" w:hAnsi="Arial"/>
          <w:sz w:val="26"/>
          <w:szCs w:val="26"/>
          <w:rtl/>
        </w:rPr>
        <w:t xml:space="preserve">9.7.2019, </w:t>
      </w:r>
      <w:r w:rsidR="00CE74CD">
        <w:rPr>
          <w:rFonts w:ascii="David" w:hAnsi="David" w:hint="cs"/>
          <w:sz w:val="26"/>
          <w:szCs w:val="26"/>
          <w:rtl/>
        </w:rPr>
        <w:t xml:space="preserve">הורשע הנתבע, </w:t>
      </w:r>
      <w:r w:rsidR="00CE74CD" w:rsidRPr="003007AE">
        <w:rPr>
          <w:rFonts w:ascii="Arial" w:hAnsi="Arial"/>
          <w:sz w:val="26"/>
          <w:szCs w:val="26"/>
          <w:rtl/>
        </w:rPr>
        <w:t>לאחר שמיעת הוכחות, בתפ"ח 30468-06-18 (להלן- "</w:t>
      </w:r>
      <w:r w:rsidR="00CE74CD" w:rsidRPr="003007AE">
        <w:rPr>
          <w:rFonts w:ascii="Arial" w:hAnsi="Arial"/>
          <w:b/>
          <w:bCs/>
          <w:sz w:val="26"/>
          <w:szCs w:val="26"/>
          <w:rtl/>
        </w:rPr>
        <w:t>ההליך הפלילי")</w:t>
      </w:r>
      <w:r w:rsidR="00CE74CD" w:rsidRPr="003007AE">
        <w:rPr>
          <w:rFonts w:ascii="Arial" w:hAnsi="Arial"/>
          <w:sz w:val="26"/>
          <w:szCs w:val="26"/>
          <w:rtl/>
        </w:rPr>
        <w:t xml:space="preserve">, </w:t>
      </w:r>
      <w:r w:rsidR="00CE74CD">
        <w:rPr>
          <w:rFonts w:ascii="Arial" w:hAnsi="Arial" w:hint="cs"/>
          <w:sz w:val="26"/>
          <w:szCs w:val="26"/>
          <w:rtl/>
        </w:rPr>
        <w:t>ב</w:t>
      </w:r>
      <w:r w:rsidR="00CE74CD" w:rsidRPr="003007AE">
        <w:rPr>
          <w:rFonts w:ascii="David" w:hAnsi="David"/>
          <w:sz w:val="26"/>
          <w:szCs w:val="26"/>
          <w:rtl/>
        </w:rPr>
        <w:t xml:space="preserve">עבירת אינוס – עבירה לפי סעיף 345(א)(1) </w:t>
      </w:r>
      <w:r w:rsidR="00CE74CD" w:rsidRPr="003007AE">
        <w:rPr>
          <w:rFonts w:ascii="David" w:hAnsi="David"/>
          <w:b/>
          <w:bCs/>
          <w:sz w:val="26"/>
          <w:szCs w:val="26"/>
          <w:rtl/>
        </w:rPr>
        <w:t>בחוק העונשין, התשל"ז- 1977</w:t>
      </w:r>
      <w:r w:rsidR="00CE74CD" w:rsidRPr="003007AE">
        <w:rPr>
          <w:rFonts w:ascii="David" w:hAnsi="David"/>
          <w:sz w:val="26"/>
          <w:szCs w:val="26"/>
          <w:rtl/>
        </w:rPr>
        <w:t xml:space="preserve"> (להלן- "</w:t>
      </w:r>
      <w:r w:rsidR="00CE74CD" w:rsidRPr="003007AE">
        <w:rPr>
          <w:rFonts w:ascii="David" w:hAnsi="David"/>
          <w:b/>
          <w:bCs/>
          <w:sz w:val="26"/>
          <w:szCs w:val="26"/>
          <w:rtl/>
        </w:rPr>
        <w:t>חוק העונשין</w:t>
      </w:r>
      <w:r w:rsidR="00CE74CD" w:rsidRPr="003007AE">
        <w:rPr>
          <w:rFonts w:ascii="David" w:hAnsi="David"/>
          <w:sz w:val="26"/>
          <w:szCs w:val="26"/>
          <w:rtl/>
        </w:rPr>
        <w:t xml:space="preserve">"); 5 עבירות של מעשה מגונה- עבירות לפי סעיף 348(ג) בחוק העונשין; ובניסיון למעשה סדום, עבירה לפי סעיף 347(ב) בנסיבות סעיף </w:t>
      </w:r>
      <w:r w:rsidR="00CE74CD" w:rsidRPr="003007AE">
        <w:rPr>
          <w:rFonts w:ascii="David" w:hAnsi="David"/>
          <w:sz w:val="26"/>
          <w:szCs w:val="26"/>
        </w:rPr>
        <w:t>345</w:t>
      </w:r>
      <w:r w:rsidR="00CE74CD" w:rsidRPr="003007AE">
        <w:rPr>
          <w:rFonts w:ascii="David" w:hAnsi="David"/>
          <w:sz w:val="26"/>
          <w:szCs w:val="26"/>
          <w:rtl/>
        </w:rPr>
        <w:t>(א)(1) וסעיף 25 בחוק העונשין</w:t>
      </w:r>
      <w:r w:rsidR="00CE74CD" w:rsidRPr="003007AE">
        <w:rPr>
          <w:rFonts w:ascii="David" w:hAnsi="David"/>
          <w:sz w:val="26"/>
          <w:szCs w:val="26"/>
        </w:rPr>
        <w:t>.</w:t>
      </w:r>
    </w:p>
    <w:p w:rsidR="008E1F04" w:rsidRDefault="008E1F04" w:rsidP="00CE74CD">
      <w:pPr>
        <w:numPr>
          <w:ilvl w:val="0"/>
          <w:numId w:val="1"/>
        </w:numPr>
        <w:spacing w:line="360" w:lineRule="auto"/>
        <w:contextualSpacing/>
        <w:jc w:val="both"/>
        <w:rPr>
          <w:rFonts w:ascii="Arial" w:hAnsi="Arial"/>
          <w:sz w:val="26"/>
          <w:szCs w:val="26"/>
        </w:rPr>
      </w:pPr>
      <w:r>
        <w:rPr>
          <w:rFonts w:ascii="Arial" w:hAnsi="Arial"/>
          <w:sz w:val="26"/>
          <w:szCs w:val="26"/>
          <w:rtl/>
        </w:rPr>
        <w:t xml:space="preserve">בגזר הדין שניתן ביום </w:t>
      </w:r>
      <w:r>
        <w:rPr>
          <w:rFonts w:ascii="David" w:hAnsi="David"/>
          <w:sz w:val="26"/>
          <w:szCs w:val="26"/>
          <w:rtl/>
        </w:rPr>
        <w:t>14.1.2020</w:t>
      </w:r>
      <w:r>
        <w:rPr>
          <w:rFonts w:ascii="Arial" w:hAnsi="Arial"/>
          <w:sz w:val="26"/>
          <w:szCs w:val="26"/>
          <w:rtl/>
        </w:rPr>
        <w:t xml:space="preserve"> גזר בית המשפט על הנתבע את העונשים הבאים: מאסר בפועל בן 40 חודשים; מאסר על תנאי; וכן פיצוי לתובעת.</w:t>
      </w:r>
    </w:p>
    <w:p w:rsidR="00CE74CD" w:rsidRPr="00CE74CD" w:rsidRDefault="00CE74CD" w:rsidP="00CE74CD">
      <w:pPr>
        <w:numPr>
          <w:ilvl w:val="0"/>
          <w:numId w:val="1"/>
        </w:numPr>
        <w:spacing w:line="360" w:lineRule="auto"/>
        <w:contextualSpacing/>
        <w:jc w:val="both"/>
        <w:rPr>
          <w:rFonts w:ascii="Arial" w:hAnsi="Arial"/>
          <w:sz w:val="26"/>
          <w:szCs w:val="26"/>
        </w:rPr>
      </w:pPr>
      <w:r w:rsidRPr="00CE74CD">
        <w:rPr>
          <w:rFonts w:ascii="David" w:hAnsi="David"/>
          <w:sz w:val="26"/>
          <w:szCs w:val="26"/>
          <w:rtl/>
        </w:rPr>
        <w:t>ביום 3.8.2020 נדחה הערעור שהגיש הנתבע לבית המשפט העליון (ע"פ 550/20).</w:t>
      </w:r>
    </w:p>
    <w:p w:rsidR="00CE74CD" w:rsidRDefault="00CE74CD" w:rsidP="00CE74CD">
      <w:pPr>
        <w:spacing w:line="360" w:lineRule="auto"/>
        <w:ind w:left="720"/>
        <w:contextualSpacing/>
        <w:jc w:val="both"/>
        <w:rPr>
          <w:rFonts w:ascii="Arial" w:hAnsi="Arial"/>
          <w:sz w:val="26"/>
          <w:szCs w:val="26"/>
        </w:rPr>
      </w:pPr>
    </w:p>
    <w:p w:rsidR="008E1F04" w:rsidRDefault="008E1F04" w:rsidP="008E1F04">
      <w:pPr>
        <w:spacing w:line="360" w:lineRule="auto"/>
        <w:contextualSpacing/>
        <w:jc w:val="both"/>
        <w:rPr>
          <w:rFonts w:ascii="Arial" w:hAnsi="Arial"/>
          <w:b/>
          <w:bCs/>
          <w:sz w:val="26"/>
          <w:szCs w:val="26"/>
          <w:u w:val="single"/>
        </w:rPr>
      </w:pPr>
      <w:r>
        <w:rPr>
          <w:rFonts w:ascii="Arial" w:hAnsi="Arial"/>
          <w:b/>
          <w:bCs/>
          <w:sz w:val="26"/>
          <w:szCs w:val="26"/>
          <w:u w:val="single"/>
          <w:rtl/>
        </w:rPr>
        <w:t>האחריות</w:t>
      </w:r>
    </w:p>
    <w:p w:rsidR="00CE74CD" w:rsidRDefault="008E1F04" w:rsidP="00CE74CD">
      <w:pPr>
        <w:numPr>
          <w:ilvl w:val="0"/>
          <w:numId w:val="1"/>
        </w:numPr>
        <w:spacing w:line="360" w:lineRule="auto"/>
        <w:contextualSpacing/>
        <w:jc w:val="both"/>
        <w:rPr>
          <w:rFonts w:ascii="Arial" w:hAnsi="Arial"/>
          <w:sz w:val="26"/>
          <w:szCs w:val="26"/>
        </w:rPr>
      </w:pPr>
      <w:r>
        <w:rPr>
          <w:rFonts w:ascii="Arial" w:hAnsi="Arial"/>
          <w:sz w:val="26"/>
          <w:szCs w:val="26"/>
          <w:rtl/>
        </w:rPr>
        <w:lastRenderedPageBreak/>
        <w:t xml:space="preserve">בתצהירי עדות ראשית שהגיש הכחיש הנתבע את האירוע, וטען לקנוניה כביכול שעשתה התובעת עם בן זוגה לשעבר, בעטיה הורשע במעשים שיוחסו לו בכתב האישום, אף שהוא חף מפשע. בין היתר טען כי בן הזוג לשעבר של התובעת הסכים להעיד על הקנוניה תמורת סכום כסף, ואולם בהעדר האמצעים הכספיים הנדרשים, לא עלה בידי הנתבע לזמן את בן הזוג לשעבר לעדות. </w:t>
      </w:r>
    </w:p>
    <w:p w:rsidR="008E1F04" w:rsidRPr="00927060" w:rsidRDefault="00CE74CD" w:rsidP="00927060">
      <w:pPr>
        <w:numPr>
          <w:ilvl w:val="0"/>
          <w:numId w:val="1"/>
        </w:numPr>
        <w:spacing w:line="360" w:lineRule="auto"/>
        <w:contextualSpacing/>
        <w:jc w:val="both"/>
        <w:rPr>
          <w:rFonts w:ascii="Arial" w:hAnsi="Arial"/>
          <w:sz w:val="26"/>
          <w:szCs w:val="26"/>
        </w:rPr>
      </w:pPr>
      <w:r>
        <w:rPr>
          <w:rFonts w:ascii="Arial" w:hAnsi="Arial" w:hint="cs"/>
          <w:sz w:val="26"/>
          <w:szCs w:val="26"/>
          <w:rtl/>
        </w:rPr>
        <w:t xml:space="preserve">לבקשת התובעת </w:t>
      </w:r>
      <w:r w:rsidR="00927060">
        <w:rPr>
          <w:rFonts w:ascii="Arial" w:hAnsi="Arial" w:hint="cs"/>
          <w:sz w:val="26"/>
          <w:szCs w:val="26"/>
          <w:rtl/>
        </w:rPr>
        <w:t xml:space="preserve">הוריתי ביום 11.7.2022 על מחיקת סעיפים שונים מתצהירי עדות ראשית שהוגשו מטעם הנתבע. אזכיר ואציין פעם נוספת </w:t>
      </w:r>
      <w:r w:rsidR="008E1F04" w:rsidRPr="00927060">
        <w:rPr>
          <w:rFonts w:ascii="Arial" w:hAnsi="Arial"/>
          <w:sz w:val="26"/>
          <w:szCs w:val="26"/>
          <w:rtl/>
        </w:rPr>
        <w:t xml:space="preserve">כי בהתאם לסעיף 42א </w:t>
      </w:r>
      <w:r w:rsidR="008E1F04" w:rsidRPr="00927060">
        <w:rPr>
          <w:rFonts w:ascii="Arial" w:hAnsi="Arial"/>
          <w:b/>
          <w:bCs/>
          <w:sz w:val="26"/>
          <w:szCs w:val="26"/>
          <w:rtl/>
        </w:rPr>
        <w:t>בפקודת הראיות [נוסח חדש], התשל"א-1971</w:t>
      </w:r>
      <w:r w:rsidR="008E1F04" w:rsidRPr="00927060">
        <w:rPr>
          <w:rFonts w:ascii="Arial" w:hAnsi="Arial"/>
          <w:sz w:val="26"/>
          <w:szCs w:val="26"/>
          <w:rtl/>
        </w:rPr>
        <w:t xml:space="preserve">  (להלן- "</w:t>
      </w:r>
      <w:r w:rsidR="008E1F04" w:rsidRPr="00927060">
        <w:rPr>
          <w:rFonts w:ascii="Arial" w:hAnsi="Arial"/>
          <w:b/>
          <w:bCs/>
          <w:sz w:val="26"/>
          <w:szCs w:val="26"/>
          <w:rtl/>
        </w:rPr>
        <w:t>פקודת הראיות</w:t>
      </w:r>
      <w:r w:rsidR="008E1F04" w:rsidRPr="00927060">
        <w:rPr>
          <w:rFonts w:ascii="Arial" w:hAnsi="Arial"/>
          <w:sz w:val="26"/>
          <w:szCs w:val="26"/>
          <w:rtl/>
        </w:rPr>
        <w:t xml:space="preserve">") – </w:t>
      </w:r>
    </w:p>
    <w:p w:rsidR="008E1F04" w:rsidRDefault="008E1F04" w:rsidP="008E1F04">
      <w:pPr>
        <w:spacing w:line="360" w:lineRule="auto"/>
        <w:ind w:left="720"/>
        <w:contextualSpacing/>
        <w:jc w:val="both"/>
        <w:rPr>
          <w:rFonts w:ascii="Arial" w:hAnsi="Arial"/>
          <w:sz w:val="26"/>
          <w:szCs w:val="26"/>
        </w:rPr>
      </w:pPr>
      <w:r>
        <w:rPr>
          <w:rFonts w:ascii="Arial" w:hAnsi="Arial"/>
          <w:sz w:val="26"/>
          <w:szCs w:val="26"/>
          <w:rtl/>
        </w:rPr>
        <w:t>"</w:t>
      </w:r>
      <w:r>
        <w:rPr>
          <w:rFonts w:ascii="Arial" w:hAnsi="Arial"/>
          <w:b/>
          <w:bCs/>
          <w:sz w:val="26"/>
          <w:szCs w:val="26"/>
          <w:rtl/>
        </w:rPr>
        <w:t>הממצאים והמסקנות של פסק דין חלוט במשפט פלילי המרשיע את הנאשם, יהיו קבילים במשפט אזרחי כראיה לכאורה לאמור בהם אם המורשע... הוא בעל דין במשפט האזרחי".</w:t>
      </w:r>
    </w:p>
    <w:p w:rsidR="008E1F04" w:rsidRDefault="008E1F04" w:rsidP="008E1F04">
      <w:pPr>
        <w:numPr>
          <w:ilvl w:val="0"/>
          <w:numId w:val="1"/>
        </w:numPr>
        <w:spacing w:line="360" w:lineRule="auto"/>
        <w:contextualSpacing/>
        <w:jc w:val="both"/>
        <w:rPr>
          <w:rFonts w:ascii="Arial" w:hAnsi="Arial"/>
          <w:sz w:val="26"/>
          <w:szCs w:val="26"/>
          <w:rtl/>
        </w:rPr>
      </w:pPr>
      <w:r>
        <w:rPr>
          <w:rFonts w:ascii="Arial" w:hAnsi="Arial"/>
          <w:sz w:val="26"/>
          <w:szCs w:val="26"/>
          <w:rtl/>
        </w:rPr>
        <w:t xml:space="preserve">סעיף 42א האמור קובע אפוא כי </w:t>
      </w:r>
      <w:r>
        <w:rPr>
          <w:rFonts w:ascii="David" w:hAnsi="David"/>
          <w:sz w:val="26"/>
          <w:szCs w:val="26"/>
          <w:rtl/>
          <w:lang w:eastAsia="he-IL"/>
        </w:rPr>
        <w:t xml:space="preserve">הממצאים העובדתיים והמסקנות שנקבעו בפסק דין חלוט המרשיע את הנאשם במשפט הפלילי יהיו קבילים כראיה לכאורה בהליך האזרחי, אף שמדובר בעדות שמועה, שכן, ככל שהוכח הממצא ברמת ההוכחה של מעל לכל ספק סביר, רמת ההוכחה הנדרשת במשפט פלילי, משמע שהוא הוכח גם בנטל 'מאזן ההסתברויות' הנדרש במשפט האזרחי. כפועל יוצא, ככל שנאשם מורשע במשפט הפלילי, ניתן לעשות שימוש בממצאים העובדתיים והמסקנות נגדו גם בהליך האזרחי ללא צורך בשמיעת ראיות חוזרת (ראו למשל ע"א 71/18 </w:t>
      </w:r>
      <w:r>
        <w:rPr>
          <w:rFonts w:ascii="David" w:hAnsi="David"/>
          <w:b/>
          <w:bCs/>
          <w:sz w:val="26"/>
          <w:szCs w:val="26"/>
          <w:rtl/>
          <w:lang w:eastAsia="he-IL"/>
        </w:rPr>
        <w:t>הרשות הפלסטינית נ' יורשי המנוחה בן שלום ז"ל</w:t>
      </w:r>
      <w:r>
        <w:rPr>
          <w:rFonts w:ascii="David" w:hAnsi="David"/>
          <w:sz w:val="26"/>
          <w:szCs w:val="26"/>
          <w:rtl/>
          <w:lang w:eastAsia="he-IL"/>
        </w:rPr>
        <w:t xml:space="preserve"> (מיום 10.3.2021)). </w:t>
      </w:r>
    </w:p>
    <w:p w:rsidR="008E1F04" w:rsidRDefault="008E1F04" w:rsidP="008E1F04">
      <w:pPr>
        <w:numPr>
          <w:ilvl w:val="0"/>
          <w:numId w:val="1"/>
        </w:numPr>
        <w:spacing w:line="360" w:lineRule="auto"/>
        <w:contextualSpacing/>
        <w:jc w:val="both"/>
        <w:rPr>
          <w:rFonts w:ascii="Arial" w:hAnsi="Arial"/>
          <w:sz w:val="26"/>
          <w:szCs w:val="26"/>
        </w:rPr>
      </w:pPr>
      <w:r>
        <w:rPr>
          <w:rFonts w:ascii="Arial" w:hAnsi="Arial"/>
          <w:sz w:val="26"/>
          <w:szCs w:val="26"/>
          <w:rtl/>
        </w:rPr>
        <w:t xml:space="preserve">סעיף 42ג בפקודת הראיות </w:t>
      </w:r>
      <w:r>
        <w:rPr>
          <w:rFonts w:ascii="David" w:hAnsi="David"/>
          <w:sz w:val="26"/>
          <w:szCs w:val="26"/>
          <w:rtl/>
          <w:lang w:eastAsia="he-IL"/>
        </w:rPr>
        <w:t>מורה כי לא ניתן יהיה לסתור ממצאים ומסקנות כאמור "</w:t>
      </w:r>
      <w:r>
        <w:rPr>
          <w:rFonts w:ascii="David" w:hAnsi="David"/>
          <w:b/>
          <w:bCs/>
          <w:sz w:val="26"/>
          <w:szCs w:val="26"/>
          <w:rtl/>
          <w:lang w:eastAsia="he-IL"/>
        </w:rPr>
        <w:t>אלא ברשות בית המשפט, מטעמים שיירשמו וכדי למנוע עיוות דין</w:t>
      </w:r>
      <w:r>
        <w:rPr>
          <w:rFonts w:ascii="David" w:hAnsi="David"/>
          <w:sz w:val="26"/>
          <w:szCs w:val="26"/>
          <w:rtl/>
          <w:lang w:eastAsia="he-IL"/>
        </w:rPr>
        <w:t xml:space="preserve">", ובהתאם להלכה הפסוקה, תינתן  רשות שכזו במקרים נדירים בלבד, </w:t>
      </w:r>
      <w:r>
        <w:rPr>
          <w:rFonts w:ascii="Arial" w:hAnsi="Arial"/>
          <w:sz w:val="26"/>
          <w:szCs w:val="26"/>
          <w:rtl/>
        </w:rPr>
        <w:t>וזאת כדי שלא לרוקן מתוכן את הכלל הקבוע בסעיפים 42א' ו42ג' בפקודת הראיות</w:t>
      </w:r>
      <w:r>
        <w:rPr>
          <w:rFonts w:ascii="David" w:hAnsi="David"/>
          <w:sz w:val="26"/>
          <w:szCs w:val="26"/>
          <w:rtl/>
          <w:lang w:eastAsia="he-IL"/>
        </w:rPr>
        <w:t xml:space="preserve"> (ראו למשל ע"א 350/74 </w:t>
      </w:r>
      <w:r>
        <w:rPr>
          <w:rFonts w:ascii="David" w:hAnsi="David"/>
          <w:b/>
          <w:bCs/>
          <w:sz w:val="26"/>
          <w:szCs w:val="26"/>
          <w:rtl/>
          <w:lang w:eastAsia="he-IL"/>
        </w:rPr>
        <w:t>חברת מ.ל.ט. בע"מ נ' ממן</w:t>
      </w:r>
      <w:r>
        <w:rPr>
          <w:rFonts w:ascii="David" w:hAnsi="David"/>
          <w:sz w:val="26"/>
          <w:szCs w:val="26"/>
          <w:rtl/>
          <w:lang w:eastAsia="he-IL"/>
        </w:rPr>
        <w:t xml:space="preserve">, פ"ד כ"ט (1) 208, 218 (1974); ע"א 6267/14 </w:t>
      </w:r>
      <w:r>
        <w:rPr>
          <w:rFonts w:ascii="David" w:hAnsi="David"/>
          <w:b/>
          <w:bCs/>
          <w:sz w:val="26"/>
          <w:szCs w:val="26"/>
          <w:rtl/>
          <w:lang w:eastAsia="he-IL"/>
        </w:rPr>
        <w:t>עודד גולד ואח' נ' מנהל מע"מ תל אביב</w:t>
      </w:r>
      <w:r>
        <w:rPr>
          <w:rFonts w:ascii="David" w:hAnsi="David"/>
          <w:sz w:val="26"/>
          <w:szCs w:val="26"/>
          <w:rtl/>
          <w:lang w:eastAsia="he-IL"/>
        </w:rPr>
        <w:t xml:space="preserve"> (מיום 26.3.17); ע"א 2823/18 </w:t>
      </w:r>
      <w:r>
        <w:rPr>
          <w:rFonts w:ascii="David" w:hAnsi="David"/>
          <w:b/>
          <w:bCs/>
          <w:sz w:val="26"/>
          <w:szCs w:val="26"/>
          <w:rtl/>
          <w:lang w:eastAsia="he-IL"/>
        </w:rPr>
        <w:t>מונדר בדיר נ' רשות המסים</w:t>
      </w:r>
      <w:r>
        <w:rPr>
          <w:rFonts w:ascii="David" w:hAnsi="David"/>
          <w:sz w:val="26"/>
          <w:szCs w:val="26"/>
          <w:rtl/>
          <w:lang w:eastAsia="he-IL"/>
        </w:rPr>
        <w:t xml:space="preserve"> (מיום 30.3.2020)).</w:t>
      </w:r>
      <w:r>
        <w:rPr>
          <w:rFonts w:ascii="David" w:hAnsi="David"/>
          <w:b/>
          <w:bCs/>
          <w:sz w:val="26"/>
          <w:szCs w:val="26"/>
          <w:rtl/>
          <w:lang w:eastAsia="he-IL"/>
        </w:rPr>
        <w:t xml:space="preserve"> </w:t>
      </w:r>
    </w:p>
    <w:p w:rsidR="008E1F04" w:rsidRDefault="008E1F04" w:rsidP="008E1F04">
      <w:pPr>
        <w:numPr>
          <w:ilvl w:val="0"/>
          <w:numId w:val="1"/>
        </w:numPr>
        <w:spacing w:line="360" w:lineRule="auto"/>
        <w:contextualSpacing/>
        <w:jc w:val="both"/>
        <w:rPr>
          <w:rFonts w:ascii="Arial" w:hAnsi="Arial"/>
          <w:sz w:val="26"/>
          <w:szCs w:val="26"/>
        </w:rPr>
      </w:pPr>
      <w:r>
        <w:rPr>
          <w:rFonts w:ascii="Arial" w:hAnsi="Arial"/>
          <w:sz w:val="26"/>
          <w:szCs w:val="26"/>
          <w:rtl/>
        </w:rPr>
        <w:t xml:space="preserve">כללים אלו שנקבעו בסעיפים 42א ו42ג בפקודת הראיות נועדו למנוע כפל התדיינות ומצב שבו מי שהורשע בהליך הפלילי יבקש לברר את המחלוקת פעם נוספת במסגרת ההליך האזרחי. </w:t>
      </w:r>
      <w:r w:rsidR="00927060">
        <w:rPr>
          <w:rFonts w:ascii="Arial" w:hAnsi="Arial" w:hint="cs"/>
          <w:sz w:val="26"/>
          <w:szCs w:val="26"/>
          <w:rtl/>
        </w:rPr>
        <w:t>(</w:t>
      </w:r>
      <w:r>
        <w:rPr>
          <w:rFonts w:ascii="Arial" w:hAnsi="Arial"/>
          <w:sz w:val="26"/>
          <w:szCs w:val="26"/>
          <w:rtl/>
        </w:rPr>
        <w:t xml:space="preserve">באופן עקיף יש בכך גם כדי לתמרץ נאשם בהליך הפלילי להביא </w:t>
      </w:r>
      <w:r>
        <w:rPr>
          <w:rFonts w:ascii="Arial" w:hAnsi="Arial"/>
          <w:sz w:val="26"/>
          <w:szCs w:val="26"/>
          <w:rtl/>
        </w:rPr>
        <w:lastRenderedPageBreak/>
        <w:t xml:space="preserve">את כלל ראיותיו בהליך הפלילי (ראו גם 1518/15 </w:t>
      </w:r>
      <w:r>
        <w:rPr>
          <w:rFonts w:ascii="Arial" w:hAnsi="Arial"/>
          <w:b/>
          <w:bCs/>
          <w:sz w:val="26"/>
          <w:szCs w:val="26"/>
          <w:rtl/>
        </w:rPr>
        <w:t>מוסא ח'לף נ' המוסד לביטוח לאומי</w:t>
      </w:r>
      <w:r>
        <w:rPr>
          <w:rFonts w:ascii="Arial" w:hAnsi="Arial"/>
          <w:sz w:val="26"/>
          <w:szCs w:val="26"/>
          <w:rtl/>
        </w:rPr>
        <w:t xml:space="preserve"> (מיום 8.3.2015)).  </w:t>
      </w:r>
    </w:p>
    <w:p w:rsidR="008E1F04" w:rsidRDefault="008E1F04" w:rsidP="00927060">
      <w:pPr>
        <w:numPr>
          <w:ilvl w:val="0"/>
          <w:numId w:val="1"/>
        </w:numPr>
        <w:spacing w:line="360" w:lineRule="auto"/>
        <w:contextualSpacing/>
        <w:jc w:val="both"/>
        <w:rPr>
          <w:rFonts w:ascii="Arial" w:hAnsi="Arial"/>
          <w:sz w:val="26"/>
          <w:szCs w:val="26"/>
        </w:rPr>
      </w:pPr>
      <w:r>
        <w:rPr>
          <w:rFonts w:ascii="David" w:hAnsi="David"/>
          <w:sz w:val="26"/>
          <w:szCs w:val="26"/>
          <w:rtl/>
          <w:lang w:eastAsia="he-IL"/>
        </w:rPr>
        <w:t xml:space="preserve">הנתבע בענייננו לא ביקש להביא ראיות לסתור את קביעת פסק הדין שניתן בהליך הפלילי, וממילא אף לא הציג לפני ראיות שכאלו. יתרה מכך, </w:t>
      </w:r>
      <w:r>
        <w:rPr>
          <w:rFonts w:ascii="Arial" w:hAnsi="Arial"/>
          <w:sz w:val="26"/>
          <w:szCs w:val="26"/>
          <w:rtl/>
        </w:rPr>
        <w:t xml:space="preserve">הנתבע לא הגיש בקשה למשפט חוזר, אף שהוא מרצה את עונשו בכלא, ויש בכך כדי להעיד על חולשת הטענה. על כל פנים, בהתאם לסעיף 42א בפקודת הראיות, יש לראות את המעשים שבהם הורשע הנתבע כמוכחים, וכפועל יוצא גם את </w:t>
      </w:r>
      <w:r w:rsidR="00927060">
        <w:rPr>
          <w:rFonts w:ascii="Arial" w:hAnsi="Arial" w:hint="cs"/>
          <w:sz w:val="26"/>
          <w:szCs w:val="26"/>
          <w:rtl/>
        </w:rPr>
        <w:t>יש לראות כמוכחת</w:t>
      </w:r>
      <w:r>
        <w:rPr>
          <w:rFonts w:ascii="Arial" w:hAnsi="Arial"/>
          <w:sz w:val="26"/>
          <w:szCs w:val="26"/>
          <w:rtl/>
        </w:rPr>
        <w:t xml:space="preserve"> </w:t>
      </w:r>
      <w:r w:rsidR="00927060">
        <w:rPr>
          <w:rFonts w:ascii="Arial" w:hAnsi="Arial" w:hint="cs"/>
          <w:sz w:val="26"/>
          <w:szCs w:val="26"/>
          <w:rtl/>
        </w:rPr>
        <w:t xml:space="preserve">גם את </w:t>
      </w:r>
      <w:r>
        <w:rPr>
          <w:rFonts w:ascii="Arial" w:hAnsi="Arial"/>
          <w:sz w:val="26"/>
          <w:szCs w:val="26"/>
          <w:rtl/>
        </w:rPr>
        <w:t>אחריותו של הנתבע לשאת בנזקיה של התובעת, וכל שנותר לדון בו הוא המחלוקת בין הצדדים בסוגיית הנזק.</w:t>
      </w:r>
    </w:p>
    <w:p w:rsidR="008E1F04" w:rsidRDefault="008E1F04" w:rsidP="008E1F04">
      <w:pPr>
        <w:spacing w:line="360" w:lineRule="auto"/>
        <w:jc w:val="both"/>
        <w:rPr>
          <w:rFonts w:ascii="David" w:hAnsi="David"/>
          <w:b/>
          <w:bCs/>
          <w:noProof w:val="0"/>
          <w:sz w:val="26"/>
          <w:szCs w:val="26"/>
          <w:u w:val="single"/>
        </w:rPr>
      </w:pPr>
    </w:p>
    <w:p w:rsidR="008E1F04" w:rsidRDefault="008E1F04" w:rsidP="008E1F04">
      <w:pPr>
        <w:spacing w:line="360" w:lineRule="auto"/>
        <w:jc w:val="both"/>
        <w:rPr>
          <w:rFonts w:ascii="David" w:hAnsi="David"/>
          <w:b/>
          <w:bCs/>
          <w:sz w:val="26"/>
          <w:szCs w:val="26"/>
          <w:u w:val="single"/>
          <w:rtl/>
        </w:rPr>
      </w:pPr>
      <w:r>
        <w:rPr>
          <w:rFonts w:ascii="David" w:hAnsi="David"/>
          <w:b/>
          <w:bCs/>
          <w:sz w:val="26"/>
          <w:szCs w:val="26"/>
          <w:u w:val="single"/>
          <w:rtl/>
        </w:rPr>
        <w:t xml:space="preserve">הנזק </w:t>
      </w:r>
    </w:p>
    <w:p w:rsidR="008E1F04" w:rsidRDefault="008E1F04" w:rsidP="008E1F04">
      <w:pPr>
        <w:numPr>
          <w:ilvl w:val="0"/>
          <w:numId w:val="1"/>
        </w:numPr>
        <w:spacing w:line="360" w:lineRule="auto"/>
        <w:contextualSpacing/>
        <w:jc w:val="both"/>
        <w:rPr>
          <w:rFonts w:ascii="David" w:hAnsi="David"/>
          <w:sz w:val="26"/>
          <w:szCs w:val="26"/>
        </w:rPr>
      </w:pPr>
      <w:r>
        <w:rPr>
          <w:rFonts w:ascii="David" w:hAnsi="David"/>
          <w:sz w:val="26"/>
          <w:szCs w:val="26"/>
          <w:rtl/>
        </w:rPr>
        <w:t xml:space="preserve">לטענת התובעת, בעקבות האירוע נגרמו לה נזקים כבדים, לרבות נכות רפואית משמעותית בתחום הפסיכיאטריה. הנתבע טען מנגד כי עדותה של התובעת אינה אמינה, כי נפלו בעדותה סתירות רבות, וכי לא עלה בידיה להוכיח נזקים כלשהם. </w:t>
      </w:r>
    </w:p>
    <w:p w:rsidR="008E1F04" w:rsidRDefault="008E1F04" w:rsidP="008E1F04">
      <w:pPr>
        <w:spacing w:line="360" w:lineRule="auto"/>
        <w:contextualSpacing/>
        <w:jc w:val="both"/>
        <w:rPr>
          <w:rFonts w:ascii="David" w:hAnsi="David"/>
          <w:b/>
          <w:bCs/>
          <w:sz w:val="26"/>
          <w:szCs w:val="26"/>
          <w:u w:val="single"/>
        </w:rPr>
      </w:pPr>
    </w:p>
    <w:p w:rsidR="008E1F04" w:rsidRDefault="008E1F04" w:rsidP="008E1F04">
      <w:pPr>
        <w:spacing w:line="360" w:lineRule="auto"/>
        <w:contextualSpacing/>
        <w:jc w:val="both"/>
        <w:rPr>
          <w:rFonts w:ascii="David" w:hAnsi="David"/>
          <w:b/>
          <w:bCs/>
          <w:sz w:val="26"/>
          <w:szCs w:val="26"/>
          <w:u w:val="single"/>
          <w:rtl/>
        </w:rPr>
      </w:pPr>
      <w:r>
        <w:rPr>
          <w:rFonts w:ascii="David" w:hAnsi="David"/>
          <w:b/>
          <w:bCs/>
          <w:sz w:val="26"/>
          <w:szCs w:val="26"/>
          <w:u w:val="single"/>
          <w:rtl/>
        </w:rPr>
        <w:t>הנכות</w:t>
      </w:r>
    </w:p>
    <w:p w:rsidR="008E1F04" w:rsidRDefault="008E1F04" w:rsidP="008E1F04">
      <w:pPr>
        <w:numPr>
          <w:ilvl w:val="0"/>
          <w:numId w:val="1"/>
        </w:numPr>
        <w:spacing w:line="360" w:lineRule="auto"/>
        <w:contextualSpacing/>
        <w:jc w:val="both"/>
        <w:rPr>
          <w:rFonts w:ascii="David" w:hAnsi="David"/>
          <w:sz w:val="26"/>
          <w:szCs w:val="26"/>
        </w:rPr>
      </w:pPr>
      <w:r>
        <w:rPr>
          <w:rFonts w:ascii="David" w:hAnsi="David"/>
          <w:sz w:val="26"/>
          <w:szCs w:val="26"/>
          <w:rtl/>
        </w:rPr>
        <w:t xml:space="preserve">לכתב התביעה צירפה התובעת את חוות דעתה של המומחית בתחום הפסיכיאטריה, </w:t>
      </w:r>
    </w:p>
    <w:p w:rsidR="008E1F04" w:rsidRDefault="008E1F04" w:rsidP="008E1F04">
      <w:pPr>
        <w:pStyle w:val="ad"/>
        <w:spacing w:line="360" w:lineRule="auto"/>
        <w:jc w:val="both"/>
        <w:rPr>
          <w:rFonts w:cs="David"/>
          <w:sz w:val="26"/>
          <w:szCs w:val="26"/>
        </w:rPr>
      </w:pPr>
      <w:r>
        <w:rPr>
          <w:rFonts w:cs="David"/>
          <w:b/>
          <w:bCs/>
          <w:sz w:val="26"/>
          <w:szCs w:val="26"/>
          <w:rtl/>
        </w:rPr>
        <w:t>ד"ר קרטה אואנה (</w:t>
      </w:r>
      <w:r>
        <w:rPr>
          <w:rFonts w:cs="David"/>
          <w:sz w:val="26"/>
          <w:szCs w:val="26"/>
          <w:rtl/>
        </w:rPr>
        <w:t>להלן- "</w:t>
      </w:r>
      <w:r>
        <w:rPr>
          <w:rFonts w:cs="David"/>
          <w:b/>
          <w:bCs/>
          <w:sz w:val="26"/>
          <w:szCs w:val="26"/>
          <w:rtl/>
        </w:rPr>
        <w:t>מומחית התובעת</w:t>
      </w:r>
      <w:r>
        <w:rPr>
          <w:rFonts w:cs="David"/>
          <w:sz w:val="26"/>
          <w:szCs w:val="26"/>
          <w:rtl/>
        </w:rPr>
        <w:t>")</w:t>
      </w:r>
      <w:r>
        <w:rPr>
          <w:rFonts w:cs="David"/>
          <w:b/>
          <w:bCs/>
          <w:sz w:val="26"/>
          <w:szCs w:val="26"/>
          <w:rtl/>
        </w:rPr>
        <w:t xml:space="preserve">. </w:t>
      </w:r>
      <w:r>
        <w:rPr>
          <w:rFonts w:cs="David"/>
          <w:sz w:val="26"/>
          <w:szCs w:val="26"/>
          <w:rtl/>
        </w:rPr>
        <w:t xml:space="preserve">מומחית התובעת העריכה בחוות דעתה כי בעקבות האירוע נותרה לתובעת נכות נפשית בשיעור 40%, על פי פרט  34 (ב) (4- 5)  </w:t>
      </w:r>
      <w:r>
        <w:rPr>
          <w:rFonts w:cs="David"/>
          <w:b/>
          <w:bCs/>
          <w:sz w:val="26"/>
          <w:szCs w:val="26"/>
          <w:rtl/>
        </w:rPr>
        <w:t>בתוספת לתקנות הביטוח הלאומי (קביעת דרגת נכות לנפגעי עבודה), התשט"ז- 1956</w:t>
      </w:r>
      <w:r>
        <w:rPr>
          <w:rFonts w:cs="David"/>
          <w:sz w:val="26"/>
          <w:szCs w:val="26"/>
          <w:rtl/>
        </w:rPr>
        <w:t xml:space="preserve"> (להלן- "</w:t>
      </w:r>
      <w:r>
        <w:rPr>
          <w:rFonts w:cs="David"/>
          <w:b/>
          <w:bCs/>
          <w:sz w:val="26"/>
          <w:szCs w:val="26"/>
          <w:rtl/>
        </w:rPr>
        <w:t>התוספת לתקנות</w:t>
      </w:r>
      <w:r>
        <w:rPr>
          <w:rFonts w:cs="David"/>
          <w:sz w:val="26"/>
          <w:szCs w:val="26"/>
          <w:rtl/>
        </w:rPr>
        <w:t>"), בגין קיומם של תסמינים וסימנים נפשיים ולאור ההגבלה התפקודית שנותרה. המומחית ציינה כי במהלך הבדיקה התרשמה שהתובעת סובלת מ</w:t>
      </w:r>
      <w:r>
        <w:rPr>
          <w:rFonts w:cs="David"/>
          <w:sz w:val="26"/>
          <w:szCs w:val="26"/>
        </w:rPr>
        <w:t>PTSD -</w:t>
      </w:r>
      <w:r>
        <w:rPr>
          <w:rFonts w:cs="David"/>
          <w:sz w:val="26"/>
          <w:szCs w:val="26"/>
          <w:rtl/>
        </w:rPr>
        <w:t xml:space="preserve"> עם תסמינים דיכאוניים וחרדתיים. בעקבות זאת חל צמצום חברתי, ירידה משמעותית בתפקוד המלווה בקושי רב לחזור למעגל העבודה. </w:t>
      </w:r>
    </w:p>
    <w:p w:rsidR="008E1F04" w:rsidRDefault="008E1F04" w:rsidP="008E1F04">
      <w:pPr>
        <w:pStyle w:val="ad"/>
        <w:numPr>
          <w:ilvl w:val="0"/>
          <w:numId w:val="1"/>
        </w:numPr>
        <w:spacing w:line="360" w:lineRule="auto"/>
        <w:jc w:val="both"/>
        <w:rPr>
          <w:rFonts w:cs="David"/>
          <w:sz w:val="26"/>
          <w:szCs w:val="26"/>
          <w:rtl/>
        </w:rPr>
      </w:pPr>
      <w:r>
        <w:rPr>
          <w:rFonts w:cs="David"/>
          <w:sz w:val="26"/>
          <w:szCs w:val="26"/>
          <w:rtl/>
        </w:rPr>
        <w:t>מומחה מטעם הנתבע בתחום הפסיכיאטריה,</w:t>
      </w:r>
      <w:r>
        <w:rPr>
          <w:rFonts w:cs="David"/>
          <w:b/>
          <w:bCs/>
          <w:sz w:val="26"/>
          <w:szCs w:val="26"/>
          <w:rtl/>
        </w:rPr>
        <w:t xml:space="preserve"> ד"ר איגור קלמן </w:t>
      </w:r>
      <w:r>
        <w:rPr>
          <w:rFonts w:cs="David"/>
          <w:sz w:val="26"/>
          <w:szCs w:val="26"/>
          <w:rtl/>
        </w:rPr>
        <w:t>(להלן-</w:t>
      </w:r>
      <w:r>
        <w:rPr>
          <w:rFonts w:cs="David"/>
          <w:b/>
          <w:bCs/>
          <w:sz w:val="26"/>
          <w:szCs w:val="26"/>
          <w:rtl/>
        </w:rPr>
        <w:t xml:space="preserve"> "מומחה הנתבע")</w:t>
      </w:r>
      <w:r>
        <w:rPr>
          <w:rFonts w:cs="David"/>
          <w:sz w:val="26"/>
          <w:szCs w:val="26"/>
          <w:rtl/>
        </w:rPr>
        <w:t xml:space="preserve">, העריך בחוות דעתו מיום 26.8.20, כי התובעת סובלת מנכות נפשית בשיעור 5% בלבד, על פי פרט 34 ב (1- 2) בתוספת לתקנות. עוד התרשם כי נכות זו אינה קשורה בקשר סיבתי לאירוע, ומקורה באישיותה של התובעת. המומחה העריך כי לתובעת הייתה נכות זמנית בעקבות האירוע, בשיעור 5%, למשך שנתיים בלבד. כמו כן הביע דעתו כי סביר להניח שהנכות תחלוף לאחר שנתיים או לאחר </w:t>
      </w:r>
      <w:r>
        <w:rPr>
          <w:rFonts w:cs="David"/>
          <w:sz w:val="26"/>
          <w:szCs w:val="26"/>
          <w:rtl/>
        </w:rPr>
        <w:lastRenderedPageBreak/>
        <w:t xml:space="preserve">סיום ההליך דנן. המומחה ציין בחוות דעתו את התרשמותו מניסיון האדרה של התסמינים הפוסט טראומטיים וממגמתיות . </w:t>
      </w:r>
    </w:p>
    <w:p w:rsidR="008E1F04" w:rsidRDefault="008E1F04" w:rsidP="008E1F04">
      <w:pPr>
        <w:pStyle w:val="ad"/>
        <w:numPr>
          <w:ilvl w:val="0"/>
          <w:numId w:val="1"/>
        </w:numPr>
        <w:spacing w:line="360" w:lineRule="auto"/>
        <w:jc w:val="both"/>
        <w:rPr>
          <w:rFonts w:cs="David"/>
          <w:sz w:val="26"/>
          <w:szCs w:val="26"/>
          <w:rtl/>
        </w:rPr>
      </w:pPr>
      <w:r>
        <w:rPr>
          <w:rFonts w:cs="David"/>
          <w:sz w:val="26"/>
          <w:szCs w:val="26"/>
          <w:rtl/>
        </w:rPr>
        <w:t xml:space="preserve">נוכח הפערים בין מומחי הצדדים מונתה </w:t>
      </w:r>
      <w:r>
        <w:rPr>
          <w:rFonts w:cs="David"/>
          <w:b/>
          <w:bCs/>
          <w:sz w:val="26"/>
          <w:szCs w:val="26"/>
          <w:rtl/>
        </w:rPr>
        <w:t xml:space="preserve">ד"ר הלה יהלום </w:t>
      </w:r>
      <w:r>
        <w:rPr>
          <w:rFonts w:cs="David"/>
          <w:sz w:val="26"/>
          <w:szCs w:val="26"/>
          <w:rtl/>
        </w:rPr>
        <w:t>כמומחית מטעם בית המשפט בתחום הפסיכיאטריה (להלן- "ה</w:t>
      </w:r>
      <w:r>
        <w:rPr>
          <w:rFonts w:cs="David"/>
          <w:b/>
          <w:bCs/>
          <w:sz w:val="26"/>
          <w:szCs w:val="26"/>
          <w:rtl/>
        </w:rPr>
        <w:t>מומחית</w:t>
      </w:r>
      <w:r>
        <w:rPr>
          <w:rFonts w:cs="David"/>
          <w:sz w:val="26"/>
          <w:szCs w:val="26"/>
          <w:rtl/>
        </w:rPr>
        <w:t xml:space="preserve">"). בחוות דעתה קבעה מומחית בית המשפט כי בעקבות האירוע נותרה לתובעת נכות נפשית צמיתה בשיעור 30%, על פי פרט 34(ב) (4) בתוספת לתקנות, בגין הפרעת דחק בתר חבלתית. כמו כן סבלה התובעת מנכות זמנית בשיעור 40%, על פי פרט 34(ב) (4- 5) בתוספת לתקנות, החל מיום האירוע ועד 31.5.21. </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 xml:space="preserve">המומחית פירטה בחוות דעתה כי התובעת, בת 28, בכורה מבין 12 אחים במשפחה חרדית, אינה עובדת, ומתגוררת בבית הוריה. סיימה 12 שנות לימוד עם בגרות, לא התגייסה לשירות בצה"ל מטעמי דת. למדה במוסד בבני ברק הוראה לגרפיקה ואומנויות, עבדה בהוראה בשתי פנימיות, ואז עבדה כשנה בפלפון, עד קרות האירוע נושא התביעה. במשך כשנתיים לפני האירוע הייתה בנתק מהוריה. מאז האירוע צורכת כדורי ציפרלקס וקנביס רפואי, המסייע לה לישון. סובלת מביעותי לילה שבהם תכנים מהאונס שעברה, ומחשבות חודרניות ופחד מכך שהייתה יכולה להירצח במהלך האירוע. </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בעקבות בדיקת התובעת וסקירת המסמכים המתעדים את הטיפול הרפואי שקיבלה, ציינה המומחית כי התובעת פיתחה תסמינים מלאים של הפרעת דחק בתר חבלתית, המתבטאים בחודרנות, בעוררות יתר, ובהימנעות. כמו כן פיתחה תסמינים דיכאוניים (איטיות פסיכומוטורית, תנועות ודיבור איטיים). בתקופה שלאחר האירוע סבלה ממחשבות אובדניות. המומחית פירטה כי המוסד לביטוח לאומי הכיר בתובעת כבעלת נכות נפשית בשיעור 40% ובאבדן כושר השתכרות מלא, לתקופה זמנית.</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המומחית דחתה מכול וכל את טענותיו של מומחה הנתבע בדבר האדרה מצד התובעת או בעיות אישיות.  כמו כן ציינה את התרשמותה כי התובעת כנה ואמינה, והתמונה האובייקטיבית בבדיקה, של סבל וקושי לדבר על הדברים, אינו מעלה חשד להאדרה.</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 xml:space="preserve">המומחית התייחסה לטענות שהועלו בחוות הדעת של מומחה הנתבע, שלפיהן מעידות מערכות היחסים הזוגיות שפיתחה על כך שלא נותרה לתובעת כל נכות, ודחתה מסקנה זו מכל וכל. על פי הסברה אין בסיס לטענה שלפיה לא מסוגלות </w:t>
      </w:r>
      <w:r>
        <w:rPr>
          <w:rFonts w:cs="David"/>
          <w:sz w:val="26"/>
          <w:szCs w:val="26"/>
          <w:rtl/>
        </w:rPr>
        <w:lastRenderedPageBreak/>
        <w:t xml:space="preserve">קרבנות תקיפה מינית לפתח יחסי זוגיות. טענות אלו מהוות "הכללת יתר", תוך התעלמות "מהידע המקצועי הנרחב בדבר נטיית קרבנות אירועים טראומטיים לחשוף עצמן לרה- טראומטיזציה (שחזור של האירועים הטראומטיים מתוך תקוה לא מודעת לשלוט בתוצאות האירוע ולשנות אותו)...". המומחית דחתה את טענותיו של מומחה הנתבע בדבר "בעיות אישיות לא קלות" של התובעת, והדגישה כי מעבר לכך שאין כל תיעוד בעברה של התובעת המעיד על בעיות אישיות, לא הצביע מומחה הנתבע על סממנים כלשהם להפרעת האישיות הנטענת, הוא אף ציין כי התובעת לא הפגינה כעס או רגזנות במהלך הבדיקה. המומחית ציינה כי הפרעת דחק בתר חבלתית ניתן לאבחן גם חודשים ושנים לאחר האירוע הטראומטי, ובלבד שהתסמינים הופיעו סמוך אליו. </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 xml:space="preserve">המומחית הדגישה כי במהלך הבדיקה התרשמה כי התובעת סובלת מהפרעת דחק בתר חבלתית מלאה ומשמעותית, מלווה בסממנים דיכאוניים משמעותיים, שעל פי תיאורה היו קשים יותר סמוך לאירוע.   </w:t>
      </w:r>
    </w:p>
    <w:p w:rsidR="008E1F04" w:rsidRDefault="008E1F04" w:rsidP="008E1F04">
      <w:pPr>
        <w:pStyle w:val="ad"/>
        <w:numPr>
          <w:ilvl w:val="0"/>
          <w:numId w:val="1"/>
        </w:numPr>
        <w:spacing w:line="360" w:lineRule="auto"/>
        <w:jc w:val="both"/>
        <w:rPr>
          <w:rFonts w:cs="David"/>
          <w:sz w:val="26"/>
          <w:szCs w:val="26"/>
          <w:rtl/>
        </w:rPr>
      </w:pPr>
      <w:r>
        <w:rPr>
          <w:rFonts w:cs="David"/>
          <w:sz w:val="26"/>
          <w:szCs w:val="26"/>
          <w:rtl/>
        </w:rPr>
        <w:t xml:space="preserve">המומחית פירטה בחוות הדעת כי התובעת תזדקק להמשך מעקב פסיכיאטרי, אותו היא מקבלת במסגרת הציבורית. כמו כן תזדקק התובעת לטיפול פסיכולוגי בתדירות של פעמיים בשבוע למשך שנתיים לפחות. הטיפול במסגרת הציבורית ניתן לרוב בתדירות של פעם אחת בשבוע, והוא מוגבל בזמן לשנה או פחות, ועל כן, ספק אם המסגרת הציבורית תוכל לתת מענה לצרכיה של התובעת מבחינת טיפול פסיכולוגי. צוין כי עלות פגישה טיפולית עם פסיכולוג בשוק הפרטי היא 450 ₪ בממוצע. </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 xml:space="preserve">המומחית לא נחקרה על חוות דעתה, ומצאתי שיש לאמץ את ממצאיה וקביעותיה באשר לנכות שנותרה לתובעת. </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 xml:space="preserve">לא מצאתי גם כל יסוד לטענות הנתבע בדבר סתירות כביכול בעדותה של התובעת, או בדבר חוסר אמינותה. התובעת הותירה רושם מהימן בעדותה, (בדומה לרושם שהותירה בבדיקת המומחית, אשר בדקה את התובעת באופן יסודי ומקצועי, ושללה טענות בדבר חוסר אמינות או האדרה אשר הועלו על ידי מומחה הנתבע. </w:t>
      </w:r>
    </w:p>
    <w:p w:rsidR="008E1F04" w:rsidRDefault="008E1F04" w:rsidP="008E1F04">
      <w:pPr>
        <w:pStyle w:val="ad"/>
        <w:spacing w:line="360" w:lineRule="auto"/>
        <w:jc w:val="both"/>
        <w:rPr>
          <w:rFonts w:cs="David"/>
          <w:sz w:val="26"/>
          <w:szCs w:val="26"/>
        </w:rPr>
      </w:pPr>
    </w:p>
    <w:p w:rsidR="008E1F04" w:rsidRDefault="008E1F04" w:rsidP="008E1F04">
      <w:pPr>
        <w:spacing w:line="360" w:lineRule="auto"/>
        <w:ind w:left="360"/>
        <w:jc w:val="both"/>
        <w:rPr>
          <w:b/>
          <w:bCs/>
          <w:sz w:val="26"/>
          <w:szCs w:val="26"/>
          <w:u w:val="single"/>
        </w:rPr>
      </w:pPr>
      <w:r>
        <w:rPr>
          <w:b/>
          <w:bCs/>
          <w:sz w:val="26"/>
          <w:szCs w:val="26"/>
          <w:u w:val="single"/>
          <w:rtl/>
        </w:rPr>
        <w:t>דיון והכרעה</w:t>
      </w:r>
    </w:p>
    <w:p w:rsidR="008E1F04" w:rsidRDefault="008E1F04" w:rsidP="008E1F04">
      <w:pPr>
        <w:numPr>
          <w:ilvl w:val="0"/>
          <w:numId w:val="1"/>
        </w:numPr>
        <w:spacing w:line="360" w:lineRule="auto"/>
        <w:contextualSpacing/>
        <w:jc w:val="both"/>
        <w:rPr>
          <w:rFonts w:ascii="David" w:hAnsi="David"/>
          <w:sz w:val="26"/>
          <w:szCs w:val="26"/>
        </w:rPr>
      </w:pPr>
      <w:r>
        <w:rPr>
          <w:rFonts w:ascii="David" w:hAnsi="David"/>
          <w:sz w:val="26"/>
          <w:szCs w:val="26"/>
          <w:rtl/>
        </w:rPr>
        <w:t>לאחר ששקלתי את טענות הצדדים ואת הראיות שהובאו, מצאתי שיש לפסוק לתובעת פיצוי כדלקמן:</w:t>
      </w:r>
    </w:p>
    <w:p w:rsidR="008E1F04" w:rsidRPr="00927060" w:rsidRDefault="008E1F04" w:rsidP="008E1F04">
      <w:pPr>
        <w:spacing w:line="360" w:lineRule="auto"/>
        <w:ind w:left="360"/>
        <w:contextualSpacing/>
        <w:jc w:val="both"/>
        <w:rPr>
          <w:rFonts w:ascii="David" w:hAnsi="David"/>
          <w:sz w:val="26"/>
          <w:szCs w:val="26"/>
          <w:u w:val="single"/>
        </w:rPr>
      </w:pPr>
      <w:r w:rsidRPr="00927060">
        <w:rPr>
          <w:rFonts w:ascii="David" w:hAnsi="David"/>
          <w:b/>
          <w:bCs/>
          <w:sz w:val="26"/>
          <w:szCs w:val="26"/>
          <w:u w:val="single"/>
          <w:rtl/>
        </w:rPr>
        <w:lastRenderedPageBreak/>
        <w:t>כאב וסבל</w:t>
      </w:r>
      <w:r w:rsidRPr="00927060">
        <w:rPr>
          <w:rFonts w:ascii="David" w:hAnsi="David"/>
          <w:sz w:val="26"/>
          <w:szCs w:val="26"/>
          <w:u w:val="single"/>
          <w:rtl/>
        </w:rPr>
        <w:t xml:space="preserve"> </w:t>
      </w:r>
    </w:p>
    <w:p w:rsidR="008E1F04" w:rsidRDefault="008E1F04" w:rsidP="008E1F04">
      <w:pPr>
        <w:numPr>
          <w:ilvl w:val="0"/>
          <w:numId w:val="1"/>
        </w:numPr>
        <w:spacing w:line="360" w:lineRule="auto"/>
        <w:contextualSpacing/>
        <w:jc w:val="both"/>
        <w:rPr>
          <w:rFonts w:ascii="David" w:hAnsi="David"/>
          <w:sz w:val="26"/>
          <w:szCs w:val="26"/>
        </w:rPr>
      </w:pPr>
      <w:r>
        <w:rPr>
          <w:sz w:val="26"/>
          <w:szCs w:val="26"/>
          <w:rtl/>
        </w:rPr>
        <w:t xml:space="preserve">השיקולים הנשקלים לעניין הערכת הכאב והסבל הינם </w:t>
      </w:r>
      <w:r>
        <w:rPr>
          <w:b/>
          <w:bCs/>
          <w:sz w:val="26"/>
          <w:szCs w:val="26"/>
          <w:rtl/>
        </w:rPr>
        <w:t xml:space="preserve">אופי הפגיעה, עוצמתה ומשכה </w:t>
      </w:r>
      <w:r>
        <w:rPr>
          <w:rFonts w:cs="Miriam"/>
          <w:sz w:val="26"/>
          <w:szCs w:val="26"/>
          <w:rtl/>
        </w:rPr>
        <w:t>(</w:t>
      </w:r>
      <w:r>
        <w:rPr>
          <w:sz w:val="26"/>
          <w:szCs w:val="26"/>
          <w:rtl/>
        </w:rPr>
        <w:t>ראו</w:t>
      </w:r>
      <w:r>
        <w:rPr>
          <w:rFonts w:cs="Miriam"/>
          <w:sz w:val="26"/>
          <w:szCs w:val="26"/>
          <w:rtl/>
        </w:rPr>
        <w:t xml:space="preserve"> </w:t>
      </w:r>
      <w:r>
        <w:rPr>
          <w:rFonts w:ascii="David" w:hAnsi="David"/>
          <w:sz w:val="26"/>
          <w:szCs w:val="26"/>
          <w:rtl/>
        </w:rPr>
        <w:t>למשל</w:t>
      </w:r>
      <w:r>
        <w:rPr>
          <w:rFonts w:cs="Miriam"/>
          <w:sz w:val="26"/>
          <w:szCs w:val="26"/>
          <w:rtl/>
        </w:rPr>
        <w:t xml:space="preserve"> </w:t>
      </w:r>
      <w:r>
        <w:rPr>
          <w:sz w:val="26"/>
          <w:szCs w:val="26"/>
          <w:rtl/>
        </w:rPr>
        <w:t>אליעזר ריבלין "</w:t>
      </w:r>
      <w:r>
        <w:rPr>
          <w:b/>
          <w:bCs/>
          <w:sz w:val="26"/>
          <w:szCs w:val="26"/>
          <w:rtl/>
        </w:rPr>
        <w:t>פיצויים בגין נזק לא מוחשי ובגין נזק לא ממוני – מגמות הרחבה</w:t>
      </w:r>
      <w:r>
        <w:rPr>
          <w:sz w:val="26"/>
          <w:szCs w:val="26"/>
          <w:rtl/>
        </w:rPr>
        <w:t xml:space="preserve">" </w:t>
      </w:r>
      <w:r>
        <w:rPr>
          <w:rFonts w:ascii="David" w:hAnsi="David"/>
          <w:sz w:val="26"/>
          <w:szCs w:val="26"/>
          <w:u w:val="single"/>
          <w:rtl/>
        </w:rPr>
        <w:t>ספר שמגר – מאמרים חלק ג'</w:t>
      </w:r>
      <w:r>
        <w:rPr>
          <w:rFonts w:cs="Miriam"/>
          <w:sz w:val="26"/>
          <w:szCs w:val="26"/>
          <w:rtl/>
        </w:rPr>
        <w:t xml:space="preserve"> </w:t>
      </w:r>
      <w:r>
        <w:rPr>
          <w:sz w:val="26"/>
          <w:szCs w:val="26"/>
          <w:rtl/>
        </w:rPr>
        <w:t>21, 61 (2003)).</w:t>
      </w:r>
      <w:r>
        <w:rPr>
          <w:rFonts w:ascii="David" w:hAnsi="David"/>
          <w:sz w:val="26"/>
          <w:szCs w:val="26"/>
          <w:rtl/>
        </w:rPr>
        <w:t xml:space="preserve"> בהלכה הפסוקה הודגש כי הפיצוי בגין "כאב וסבל" ניתן (ראו ע"א 4022/08 </w:t>
      </w:r>
      <w:r>
        <w:rPr>
          <w:rFonts w:ascii="David" w:hAnsi="David"/>
          <w:b/>
          <w:bCs/>
          <w:sz w:val="26"/>
          <w:szCs w:val="26"/>
          <w:rtl/>
        </w:rPr>
        <w:t>אגבבה נ' ד.י.ש. בע"מ</w:t>
      </w:r>
      <w:r>
        <w:rPr>
          <w:rFonts w:ascii="David" w:hAnsi="David"/>
          <w:sz w:val="26"/>
          <w:szCs w:val="26"/>
          <w:rtl/>
        </w:rPr>
        <w:t xml:space="preserve"> (מיום 21.10.2010, דברים שצוטטו על ידי כב' השופט ח' מלצר בע"א 8195/09 </w:t>
      </w:r>
      <w:r>
        <w:rPr>
          <w:rFonts w:ascii="David" w:hAnsi="David"/>
          <w:b/>
          <w:bCs/>
          <w:sz w:val="26"/>
          <w:szCs w:val="26"/>
          <w:rtl/>
        </w:rPr>
        <w:t xml:space="preserve">פלוני ז"ל נ' פלונית </w:t>
      </w:r>
      <w:r>
        <w:rPr>
          <w:rFonts w:ascii="David" w:hAnsi="David"/>
          <w:sz w:val="26"/>
          <w:szCs w:val="26"/>
          <w:rtl/>
        </w:rPr>
        <w:t>(מיום 20.9.2015) (להלן- "</w:t>
      </w:r>
      <w:r>
        <w:rPr>
          <w:rFonts w:ascii="David" w:hAnsi="David"/>
          <w:b/>
          <w:bCs/>
          <w:sz w:val="26"/>
          <w:szCs w:val="26"/>
          <w:rtl/>
        </w:rPr>
        <w:t>פרשת פלוני ז"ל</w:t>
      </w:r>
      <w:r>
        <w:rPr>
          <w:rFonts w:ascii="David" w:hAnsi="David"/>
          <w:sz w:val="26"/>
          <w:szCs w:val="26"/>
          <w:rtl/>
        </w:rPr>
        <w:t xml:space="preserve">")- </w:t>
      </w:r>
    </w:p>
    <w:p w:rsidR="008E1F04" w:rsidRDefault="008E1F04" w:rsidP="008E1F04">
      <w:pPr>
        <w:spacing w:line="360" w:lineRule="auto"/>
        <w:ind w:left="720"/>
        <w:contextualSpacing/>
        <w:jc w:val="both"/>
        <w:rPr>
          <w:rFonts w:ascii="David" w:hAnsi="David"/>
          <w:sz w:val="26"/>
          <w:szCs w:val="26"/>
        </w:rPr>
      </w:pPr>
    </w:p>
    <w:p w:rsidR="008E1F04" w:rsidRDefault="008E1F04" w:rsidP="008E1F04">
      <w:pPr>
        <w:spacing w:line="360" w:lineRule="auto"/>
        <w:ind w:left="1440" w:right="142"/>
        <w:contextualSpacing/>
        <w:jc w:val="both"/>
        <w:rPr>
          <w:rFonts w:ascii="David" w:hAnsi="David"/>
          <w:b/>
          <w:bCs/>
          <w:sz w:val="26"/>
          <w:szCs w:val="26"/>
        </w:rPr>
      </w:pPr>
      <w:r>
        <w:rPr>
          <w:rFonts w:ascii="David" w:hAnsi="David"/>
          <w:b/>
          <w:bCs/>
          <w:sz w:val="26"/>
          <w:szCs w:val="26"/>
          <w:rtl/>
        </w:rPr>
        <w:t xml:space="preserve">"בגין תחושות של חוסר-נוחות פיזית, או מיחושים, הנגרמים לניזוק כתוצאה מפציעתו, וכן בגין כל פגיעה נפשית, כגון צער, עצב או עגמת-נפש, אשר נגרמה לו עקב הפגיעה" </w:t>
      </w:r>
    </w:p>
    <w:p w:rsidR="008E1F04" w:rsidRDefault="008E1F04" w:rsidP="008E1F04">
      <w:pPr>
        <w:spacing w:line="360" w:lineRule="auto"/>
        <w:ind w:left="720"/>
        <w:contextualSpacing/>
        <w:jc w:val="both"/>
        <w:rPr>
          <w:rFonts w:ascii="David" w:hAnsi="David"/>
          <w:sz w:val="26"/>
          <w:szCs w:val="26"/>
        </w:rPr>
      </w:pPr>
    </w:p>
    <w:p w:rsidR="008E1F04" w:rsidRDefault="008E1F04" w:rsidP="008E1F04">
      <w:pPr>
        <w:numPr>
          <w:ilvl w:val="0"/>
          <w:numId w:val="1"/>
        </w:numPr>
        <w:spacing w:line="360" w:lineRule="auto"/>
        <w:contextualSpacing/>
        <w:jc w:val="both"/>
        <w:rPr>
          <w:rFonts w:ascii="David" w:hAnsi="David"/>
          <w:sz w:val="26"/>
          <w:szCs w:val="26"/>
        </w:rPr>
      </w:pPr>
      <w:r>
        <w:rPr>
          <w:rFonts w:ascii="David" w:hAnsi="David"/>
          <w:b/>
          <w:bCs/>
          <w:sz w:val="26"/>
          <w:szCs w:val="26"/>
          <w:rtl/>
        </w:rPr>
        <w:t>מבחינת טיבו של המעשה</w:t>
      </w:r>
      <w:r>
        <w:rPr>
          <w:rFonts w:ascii="David" w:hAnsi="David"/>
          <w:sz w:val="26"/>
          <w:szCs w:val="26"/>
          <w:rtl/>
        </w:rPr>
        <w:t xml:space="preserve">, מאופיין הנזק של כאב וסבל שמקורו בעבירות מין שבוצעו בקרבן לא רק בהתאם לנכות שנותרה, הטיפולים הרפואיים שקיבלה התובעת, השפעת האירוע על חייה המקצועיים או האישיים, מאפיינים הנשקלים גם בתביעות 'רגילות' בגין נזקי גוף שמקורן ברשלנות המזיק, אלא גם במאפיינים של פגיעה חמורה </w:t>
      </w:r>
      <w:r>
        <w:rPr>
          <w:rFonts w:ascii="David" w:hAnsi="David"/>
          <w:b/>
          <w:bCs/>
          <w:sz w:val="26"/>
          <w:szCs w:val="26"/>
          <w:rtl/>
        </w:rPr>
        <w:t>בכבוד האדם ובפרטיותו</w:t>
      </w:r>
      <w:r>
        <w:rPr>
          <w:rFonts w:ascii="David" w:hAnsi="David"/>
          <w:sz w:val="26"/>
          <w:szCs w:val="26"/>
          <w:rtl/>
        </w:rPr>
        <w:t xml:space="preserve">, </w:t>
      </w:r>
      <w:r>
        <w:rPr>
          <w:rFonts w:ascii="David" w:hAnsi="David"/>
          <w:b/>
          <w:bCs/>
          <w:sz w:val="26"/>
          <w:szCs w:val="26"/>
          <w:rtl/>
        </w:rPr>
        <w:t>פגיעה באוטונומיה ועלבון</w:t>
      </w:r>
      <w:r>
        <w:rPr>
          <w:rFonts w:ascii="David" w:hAnsi="David"/>
          <w:sz w:val="26"/>
          <w:szCs w:val="26"/>
          <w:rtl/>
        </w:rPr>
        <w:t xml:space="preserve">, כפי שהודגש בפסיקה (ראו דבריו של כב' השופט ח' מלצר בפרשת פלוני ז"ל). בית המשפט ציטט בפרשת פלוני דברים שנאמרו בהקשר הפלילי של עבירת האינוס, על ידי כב' השופט מ' חשין בע"פ 115/00 </w:t>
      </w:r>
      <w:r>
        <w:rPr>
          <w:rFonts w:ascii="David" w:hAnsi="David"/>
          <w:b/>
          <w:bCs/>
          <w:sz w:val="26"/>
          <w:szCs w:val="26"/>
          <w:rtl/>
        </w:rPr>
        <w:t>טייב נ' מדינת ישראל</w:t>
      </w:r>
      <w:r>
        <w:rPr>
          <w:rFonts w:ascii="David" w:hAnsi="David"/>
          <w:sz w:val="26"/>
          <w:szCs w:val="26"/>
          <w:rtl/>
        </w:rPr>
        <w:t>, פ"ד נד (3) 289, 329 (2000)-</w:t>
      </w:r>
    </w:p>
    <w:p w:rsidR="008E1F04" w:rsidRDefault="008E1F04" w:rsidP="008E1F04">
      <w:pPr>
        <w:spacing w:line="360" w:lineRule="auto"/>
        <w:ind w:left="720"/>
        <w:contextualSpacing/>
        <w:jc w:val="both"/>
        <w:rPr>
          <w:rFonts w:ascii="David" w:hAnsi="David"/>
          <w:sz w:val="26"/>
          <w:szCs w:val="26"/>
        </w:rPr>
      </w:pPr>
      <w:r>
        <w:rPr>
          <w:rFonts w:ascii="David" w:hAnsi="David"/>
          <w:sz w:val="26"/>
          <w:szCs w:val="26"/>
          <w:rtl/>
        </w:rPr>
        <w:t xml:space="preserve"> </w:t>
      </w:r>
    </w:p>
    <w:p w:rsidR="008E1F04" w:rsidRDefault="008E1F04" w:rsidP="008E1F04">
      <w:pPr>
        <w:pStyle w:val="Ruller5"/>
        <w:rPr>
          <w:rFonts w:ascii="David" w:hAnsi="David" w:cs="David"/>
          <w:b/>
          <w:bCs/>
          <w:sz w:val="26"/>
          <w:szCs w:val="26"/>
        </w:rPr>
      </w:pPr>
      <w:r>
        <w:rPr>
          <w:rFonts w:ascii="David" w:hAnsi="David" w:cs="David"/>
          <w:b/>
          <w:bCs/>
          <w:sz w:val="26"/>
          <w:szCs w:val="26"/>
          <w:rtl/>
        </w:rPr>
        <w:t xml:space="preserve"> </w:t>
      </w:r>
      <w:r>
        <w:rPr>
          <w:rFonts w:ascii="David" w:hAnsi="David" w:cs="David" w:hint="cs"/>
          <w:b/>
          <w:bCs/>
          <w:sz w:val="26"/>
          <w:szCs w:val="26"/>
          <w:rtl/>
        </w:rPr>
        <w:t>"עבירת האינוס נועדה ובאה להגן על ריבונות האישה על גופה, על כבודה של האישה כאדם, על האוטונומיה של רצונה, על הָאֲנִי... פלישה שלא-בהיתר לגופה של אישה, לגופו של אדם, משפילה היא – משפילה ומדכאת; כואבת היא, כואבת-במאוד; פוגעת היא – פגיעה חדה וכואבת; מעליבה היא – והעלבון עמוק וצורב. נרמס הָאֲנִי, הנפש נחתכת, נפגע החופש, נגרעת האוטונומיה של הרצון, נדרס הכבוד".</w:t>
      </w:r>
    </w:p>
    <w:p w:rsidR="008E1F04" w:rsidRDefault="008E1F04" w:rsidP="008E1F04">
      <w:pPr>
        <w:pStyle w:val="msolistparagraph0"/>
        <w:spacing w:line="360" w:lineRule="auto"/>
        <w:rPr>
          <w:rtl/>
        </w:rPr>
      </w:pPr>
    </w:p>
    <w:p w:rsidR="008E1F04" w:rsidRDefault="008E1F04" w:rsidP="008E1F04">
      <w:pPr>
        <w:spacing w:line="360" w:lineRule="auto"/>
        <w:ind w:left="720"/>
        <w:contextualSpacing/>
        <w:jc w:val="both"/>
        <w:rPr>
          <w:rFonts w:ascii="David" w:hAnsi="David"/>
          <w:sz w:val="26"/>
          <w:szCs w:val="26"/>
          <w:rtl/>
        </w:rPr>
      </w:pPr>
    </w:p>
    <w:p w:rsidR="008E1F04" w:rsidRDefault="008E1F04" w:rsidP="008E1F04">
      <w:pPr>
        <w:numPr>
          <w:ilvl w:val="0"/>
          <w:numId w:val="1"/>
        </w:numPr>
        <w:spacing w:line="360" w:lineRule="auto"/>
        <w:contextualSpacing/>
        <w:jc w:val="both"/>
        <w:rPr>
          <w:rFonts w:ascii="David" w:hAnsi="David"/>
          <w:sz w:val="26"/>
          <w:szCs w:val="26"/>
        </w:rPr>
      </w:pPr>
      <w:r>
        <w:rPr>
          <w:rFonts w:ascii="David" w:hAnsi="David"/>
          <w:sz w:val="26"/>
          <w:szCs w:val="26"/>
          <w:rtl/>
        </w:rPr>
        <w:t xml:space="preserve">הפגיעה הגלומה במעשים מכוונים ואלימים, בהבדל ממעשים הנעשים בשל רשלנות והפרת חובת זהירות, היא לעיתים גבוהה לעין שיעור מהפגיעה הנגרמת במעשה בלתי מכוון, גם אם התוצאה היא אותה נכות רפואית, ועל כן מידת ה'כאב והסבל' </w:t>
      </w:r>
      <w:r>
        <w:rPr>
          <w:rFonts w:ascii="David" w:hAnsi="David"/>
          <w:sz w:val="26"/>
          <w:szCs w:val="26"/>
          <w:rtl/>
        </w:rPr>
        <w:lastRenderedPageBreak/>
        <w:t xml:space="preserve">הנגרמת לקרבן עבירות אלו אינה זהה בהכרח למידת ה'כאב והסבל' הנגרמים לניזוקים בתביעות נזקי גוף אחרות.  </w:t>
      </w:r>
    </w:p>
    <w:p w:rsidR="008E1F04" w:rsidRDefault="008E1F04" w:rsidP="008E1F04">
      <w:pPr>
        <w:numPr>
          <w:ilvl w:val="0"/>
          <w:numId w:val="1"/>
        </w:numPr>
        <w:spacing w:line="360" w:lineRule="auto"/>
        <w:contextualSpacing/>
        <w:jc w:val="both"/>
        <w:rPr>
          <w:rFonts w:ascii="David" w:hAnsi="David"/>
          <w:sz w:val="26"/>
          <w:szCs w:val="26"/>
        </w:rPr>
      </w:pPr>
      <w:r>
        <w:rPr>
          <w:rFonts w:ascii="David" w:hAnsi="David"/>
          <w:sz w:val="26"/>
          <w:szCs w:val="26"/>
          <w:rtl/>
        </w:rPr>
        <w:t xml:space="preserve">מבחינת </w:t>
      </w:r>
      <w:r>
        <w:rPr>
          <w:rFonts w:ascii="David" w:hAnsi="David"/>
          <w:b/>
          <w:bCs/>
          <w:sz w:val="26"/>
          <w:szCs w:val="26"/>
          <w:rtl/>
        </w:rPr>
        <w:t>משכה של הפגיעה</w:t>
      </w:r>
      <w:r>
        <w:rPr>
          <w:rFonts w:ascii="David" w:hAnsi="David"/>
          <w:sz w:val="26"/>
          <w:szCs w:val="26"/>
          <w:rtl/>
        </w:rPr>
        <w:t>, מובאים בחשבון בדרך כלל מספר האירועים שבהם בוצעו עבירות המין, האם מדובר באירוע אחד או במסכת אירועים הנמשכת לעיתים במשך שנים.</w:t>
      </w:r>
    </w:p>
    <w:p w:rsidR="008E1F04" w:rsidRDefault="008E1F04" w:rsidP="008E1F04">
      <w:pPr>
        <w:spacing w:line="360" w:lineRule="auto"/>
        <w:ind w:left="360"/>
        <w:contextualSpacing/>
        <w:jc w:val="both"/>
        <w:rPr>
          <w:rFonts w:ascii="David" w:hAnsi="David"/>
          <w:b/>
          <w:bCs/>
          <w:sz w:val="26"/>
          <w:szCs w:val="26"/>
        </w:rPr>
      </w:pPr>
      <w:r>
        <w:rPr>
          <w:rFonts w:ascii="David" w:hAnsi="David"/>
          <w:b/>
          <w:bCs/>
          <w:sz w:val="26"/>
          <w:szCs w:val="26"/>
          <w:rtl/>
        </w:rPr>
        <w:t>מן הכלל אל הפרט</w:t>
      </w:r>
    </w:p>
    <w:p w:rsidR="008E1F04" w:rsidRDefault="008E1F04" w:rsidP="008E1F04">
      <w:pPr>
        <w:pStyle w:val="ad"/>
        <w:numPr>
          <w:ilvl w:val="0"/>
          <w:numId w:val="1"/>
        </w:numPr>
        <w:spacing w:line="360" w:lineRule="auto"/>
        <w:jc w:val="both"/>
        <w:rPr>
          <w:rFonts w:cs="David"/>
          <w:sz w:val="26"/>
          <w:szCs w:val="26"/>
          <w:rtl/>
        </w:rPr>
      </w:pPr>
      <w:r>
        <w:rPr>
          <w:rFonts w:cs="David"/>
          <w:sz w:val="26"/>
          <w:szCs w:val="26"/>
          <w:rtl/>
        </w:rPr>
        <w:t xml:space="preserve">בענייננו ביצע כאמור הנתבע בתובעת, במהלך אירוע אחד שבו היה אמור להעניק לה עיסוי לטיפול בכאבי שרירים שמהם סבלה, מספר עבירות מין, חלקן חמורות מאד, במיוחד עבירת האונס, ומטעמי צנעת הפרט לא אתאר את המעשים שבהם הורשע. גם המעשים המגונים שביצע הנתבע </w:t>
      </w:r>
      <w:r>
        <w:rPr>
          <w:rFonts w:ascii="David" w:eastAsia="Times New Roman" w:hAnsi="David" w:cs="David"/>
          <w:sz w:val="26"/>
          <w:szCs w:val="26"/>
          <w:rtl/>
        </w:rPr>
        <w:t>בתובעת, מעבר לעבירת האינוס והניסיון למעשה סדום, גרמו לביזויה של התובעת, השפלתה, פגיעה באוטונומיה שלה ובכבודה.</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בתצהיר עדותה הראשית תיארה התובעת שהנתבע הרס את חייה, ושהיא חוששת שלא תוכל להתגבר אי פעם על תחושת הכאב וההשפלה שעברה. כמו כן תיארה כעס עצמי על כך שנפלה בתמימותה קרבן למעשיו. התובעת תיארה את ההתדרדרות במצבה הנפשי בעקבות האירוע, מכך שמבחורה שמחה הפכה לדיכאונית, מבחורה עובדת הפכה לבחורה שאינה עובדת. על פי תיאורה כיום היא שבר כלי</w:t>
      </w:r>
      <w:r>
        <w:rPr>
          <w:rFonts w:cs="David"/>
          <w:sz w:val="26"/>
          <w:szCs w:val="26"/>
        </w:rPr>
        <w:t>:</w:t>
      </w:r>
      <w:r>
        <w:rPr>
          <w:rFonts w:cs="David"/>
          <w:sz w:val="26"/>
          <w:szCs w:val="26"/>
          <w:rtl/>
        </w:rPr>
        <w:t xml:space="preserve"> מתפקדת באופן לקוי ביותר; אינה יכולה להתפרנס, ותלויה בעזרתם של בני המשפחה; ממעטת לצאת לבילוי עם חברות או להכיר אנשים חדשים, מתקשה לבטוח באנשים; סובלת מסיוטי לילה ומחוסר מוטיבציה. בחקירתה הנגדית של התובעת ניכרו קשייה לשוחח על האירוע. יחד עם זאת ניתן היה להתרשם מסבלה הרב ומהשפעתו המכריעה של האירוע על תפקודה.</w:t>
      </w:r>
    </w:p>
    <w:p w:rsidR="008E1F04" w:rsidRDefault="008E1F04" w:rsidP="008E1F04">
      <w:pPr>
        <w:pStyle w:val="ad"/>
        <w:numPr>
          <w:ilvl w:val="0"/>
          <w:numId w:val="1"/>
        </w:numPr>
        <w:spacing w:line="360" w:lineRule="auto"/>
        <w:jc w:val="both"/>
        <w:rPr>
          <w:rFonts w:cs="David"/>
          <w:sz w:val="26"/>
          <w:szCs w:val="26"/>
        </w:rPr>
      </w:pPr>
      <w:r>
        <w:rPr>
          <w:rFonts w:ascii="David" w:eastAsia="Times New Roman" w:hAnsi="David" w:cs="David"/>
          <w:sz w:val="26"/>
          <w:szCs w:val="26"/>
          <w:rtl/>
        </w:rPr>
        <w:t>מעבר לטיבם של המעשים, יש לשקול את הנכות הנפשית שנותרה לתובעת בעקבות האירוע, בשיעור 30%, הנכות הזמנית בשיעור 40%</w:t>
      </w:r>
      <w:r w:rsidR="00927060">
        <w:rPr>
          <w:rFonts w:ascii="David" w:eastAsia="Times New Roman" w:hAnsi="David" w:cs="David" w:hint="cs"/>
          <w:sz w:val="26"/>
          <w:szCs w:val="26"/>
          <w:rtl/>
        </w:rPr>
        <w:t xml:space="preserve"> למשך 3 שנים</w:t>
      </w:r>
      <w:r>
        <w:rPr>
          <w:rFonts w:ascii="David" w:eastAsia="Times New Roman" w:hAnsi="David" w:cs="David"/>
          <w:sz w:val="26"/>
          <w:szCs w:val="26"/>
          <w:rtl/>
        </w:rPr>
        <w:t>, ואת השפעת המעשים על מהלך חייה</w:t>
      </w:r>
      <w:r w:rsidR="00927060">
        <w:rPr>
          <w:rFonts w:ascii="David" w:eastAsia="Times New Roman" w:hAnsi="David" w:cs="David" w:hint="cs"/>
          <w:sz w:val="26"/>
          <w:szCs w:val="26"/>
          <w:rtl/>
        </w:rPr>
        <w:t xml:space="preserve"> התובעת</w:t>
      </w:r>
      <w:r>
        <w:rPr>
          <w:rFonts w:ascii="David" w:eastAsia="Times New Roman" w:hAnsi="David" w:cs="David"/>
          <w:sz w:val="26"/>
          <w:szCs w:val="26"/>
          <w:rtl/>
        </w:rPr>
        <w:t xml:space="preserve">. מעבר לקושי התפקודי, וחוסר אפשרותה של התובעת להתמיד בעבודה, כך שהיא תלויה באחרים בפרנסתה, מלווה הפגיעה בירידה בביטחון עצמי, והתובעת אינה רוחשת אמון לסובבים אותה. איכות חייה של התובעת נפגעה, והיא חזרה להתגורר בבית הוריה, סובלת מביעותי לילה, דיכאונות, פחדים, והאשמה עצמית.  חיי הזוגיות והחברה של התובעת נפגעו, ואף שפיתחה מערכות יחסים זוגיות, לא עלה בידה להתמיד בהן. </w:t>
      </w:r>
    </w:p>
    <w:p w:rsidR="008E1F04" w:rsidRDefault="008E1F04" w:rsidP="008E1F04">
      <w:pPr>
        <w:pStyle w:val="ad"/>
        <w:numPr>
          <w:ilvl w:val="0"/>
          <w:numId w:val="1"/>
        </w:numPr>
        <w:spacing w:line="360" w:lineRule="auto"/>
        <w:jc w:val="both"/>
        <w:rPr>
          <w:rFonts w:cs="David"/>
          <w:sz w:val="26"/>
          <w:szCs w:val="26"/>
          <w:rtl/>
        </w:rPr>
      </w:pPr>
      <w:r>
        <w:rPr>
          <w:rFonts w:cs="David"/>
          <w:sz w:val="26"/>
          <w:szCs w:val="26"/>
          <w:rtl/>
        </w:rPr>
        <w:lastRenderedPageBreak/>
        <w:t xml:space="preserve">עוד אציין </w:t>
      </w:r>
      <w:r w:rsidR="00927060">
        <w:rPr>
          <w:rFonts w:cs="David" w:hint="cs"/>
          <w:sz w:val="26"/>
          <w:szCs w:val="26"/>
          <w:rtl/>
        </w:rPr>
        <w:t xml:space="preserve">מעבר לדרוש </w:t>
      </w:r>
      <w:r>
        <w:rPr>
          <w:rFonts w:cs="David"/>
          <w:sz w:val="26"/>
          <w:szCs w:val="26"/>
          <w:rtl/>
        </w:rPr>
        <w:t xml:space="preserve">כי לתובעת נגרם גם סבל משני רב, בעקבות </w:t>
      </w:r>
      <w:r>
        <w:rPr>
          <w:rFonts w:ascii="David" w:eastAsia="Times New Roman" w:hAnsi="David" w:cs="David"/>
          <w:sz w:val="26"/>
          <w:szCs w:val="26"/>
          <w:rtl/>
        </w:rPr>
        <w:t>ניהול ההליכים המשפטיים הממושכים, הימנעותו של הנתבע מנטילת אחריות או מהתנצלות, ניהול ההוכחות, והכפירה במעשים גם במסגרת ההליך שלפני.</w:t>
      </w:r>
      <w:r>
        <w:rPr>
          <w:rFonts w:cs="David"/>
          <w:sz w:val="26"/>
          <w:szCs w:val="26"/>
          <w:rtl/>
        </w:rPr>
        <w:t xml:space="preserve"> כפי שציינה התובעת בפני המומחית, מרגישה התובעת כי לא נעשה עמה צדק במשפט. לדבריה המצוטטים בחוות הדעת</w:t>
      </w:r>
      <w:r w:rsidR="00130889">
        <w:rPr>
          <w:rFonts w:cs="David" w:hint="cs"/>
          <w:sz w:val="26"/>
          <w:szCs w:val="26"/>
          <w:rtl/>
        </w:rPr>
        <w:t>,</w:t>
      </w:r>
      <w:r>
        <w:rPr>
          <w:rFonts w:cs="David"/>
          <w:sz w:val="26"/>
          <w:szCs w:val="26"/>
          <w:rtl/>
        </w:rPr>
        <w:t xml:space="preserve"> הנתבע "קיבל שלוש שנים וארבע חודשים, אני חושבת על זה שהוא עכשיו יוצא ואני אפילו לא הצלחתי טיפה לחזור למה שהייתי". </w:t>
      </w:r>
    </w:p>
    <w:p w:rsidR="008E1F04" w:rsidRDefault="008E1F04" w:rsidP="008E1F04">
      <w:pPr>
        <w:pStyle w:val="ad"/>
        <w:numPr>
          <w:ilvl w:val="0"/>
          <w:numId w:val="1"/>
        </w:numPr>
        <w:spacing w:line="360" w:lineRule="auto"/>
        <w:jc w:val="both"/>
        <w:rPr>
          <w:rFonts w:cs="David"/>
          <w:b/>
          <w:bCs/>
          <w:sz w:val="26"/>
          <w:szCs w:val="26"/>
        </w:rPr>
      </w:pPr>
      <w:r>
        <w:rPr>
          <w:rFonts w:cs="David"/>
          <w:b/>
          <w:bCs/>
          <w:sz w:val="26"/>
          <w:szCs w:val="26"/>
          <w:rtl/>
        </w:rPr>
        <w:t>התובעת עתרה לפיצוי בסכום של 800,000 ₪ בגין כאב וסבל, ונוכח חומרת העבירות, טיב</w:t>
      </w:r>
      <w:r w:rsidR="00130889">
        <w:rPr>
          <w:rFonts w:cs="David" w:hint="cs"/>
          <w:b/>
          <w:bCs/>
          <w:sz w:val="26"/>
          <w:szCs w:val="26"/>
          <w:rtl/>
        </w:rPr>
        <w:t xml:space="preserve"> המעשי</w:t>
      </w:r>
      <w:r>
        <w:rPr>
          <w:rFonts w:cs="David"/>
          <w:b/>
          <w:bCs/>
          <w:sz w:val="26"/>
          <w:szCs w:val="26"/>
          <w:rtl/>
        </w:rPr>
        <w:t>ם, הנזקים שנגרמו, ובשים לב לכך שמדובר בעבירות שבוצעו ב</w:t>
      </w:r>
      <w:r w:rsidR="00130889">
        <w:rPr>
          <w:rFonts w:cs="David" w:hint="cs"/>
          <w:b/>
          <w:bCs/>
          <w:sz w:val="26"/>
          <w:szCs w:val="26"/>
          <w:rtl/>
        </w:rPr>
        <w:t xml:space="preserve">מהלך </w:t>
      </w:r>
      <w:r>
        <w:rPr>
          <w:rFonts w:cs="David"/>
          <w:b/>
          <w:bCs/>
          <w:sz w:val="26"/>
          <w:szCs w:val="26"/>
          <w:rtl/>
        </w:rPr>
        <w:t xml:space="preserve">אירוע אחד, מצאתי שיש לפסוק לתובעת פיצוי בסכום של  600,000 ₪ בראש נזק זה. </w:t>
      </w:r>
    </w:p>
    <w:p w:rsidR="008E1F04" w:rsidRDefault="008E1F04" w:rsidP="008E1F04">
      <w:pPr>
        <w:pStyle w:val="ad"/>
        <w:numPr>
          <w:ilvl w:val="0"/>
          <w:numId w:val="1"/>
        </w:numPr>
        <w:spacing w:line="360" w:lineRule="auto"/>
        <w:jc w:val="both"/>
        <w:rPr>
          <w:rFonts w:cs="David"/>
          <w:sz w:val="26"/>
          <w:szCs w:val="26"/>
        </w:rPr>
      </w:pPr>
      <w:r>
        <w:rPr>
          <w:rFonts w:cs="David"/>
          <w:sz w:val="26"/>
          <w:szCs w:val="26"/>
          <w:rtl/>
        </w:rPr>
        <w:t xml:space="preserve">לשם השוואה אפנה לפיצויים שנפסקו בראש נזק זה בשורה של פסקי דין: בע"א 8195/09 </w:t>
      </w:r>
      <w:r>
        <w:rPr>
          <w:rFonts w:cs="David"/>
          <w:b/>
          <w:bCs/>
          <w:sz w:val="26"/>
          <w:szCs w:val="26"/>
          <w:rtl/>
        </w:rPr>
        <w:t>פלוני נ' פלונית</w:t>
      </w:r>
      <w:r>
        <w:rPr>
          <w:rFonts w:cs="David"/>
          <w:sz w:val="26"/>
          <w:szCs w:val="26"/>
          <w:rtl/>
        </w:rPr>
        <w:t xml:space="preserve"> (מיום 26.5.2015), שם נפסק פיצוי בסכום של 500,000 ₪ (בשנת 2015) בראש נזק זה, בגין ביצוע עבירות מין חמורות של אינוס ומעשים מגונים בקטינה אחת, במשך שנים, ופיצוי בסכום זהה בגין מעשים מגונים והתעללות בקטינה אחרת במשך שנים, </w:t>
      </w:r>
      <w:r>
        <w:rPr>
          <w:rFonts w:cs="David"/>
          <w:b/>
          <w:bCs/>
          <w:sz w:val="26"/>
          <w:szCs w:val="26"/>
          <w:rtl/>
        </w:rPr>
        <w:t>מבלי</w:t>
      </w:r>
      <w:r>
        <w:rPr>
          <w:rFonts w:cs="David"/>
          <w:sz w:val="26"/>
          <w:szCs w:val="26"/>
          <w:rtl/>
        </w:rPr>
        <w:t xml:space="preserve"> שהובאו ראיות בדבר גובה הנכות שנותרה לנפגעות;</w:t>
      </w:r>
    </w:p>
    <w:p w:rsidR="008E1F04" w:rsidRDefault="008E1F04" w:rsidP="008E1F04">
      <w:pPr>
        <w:pStyle w:val="ad"/>
        <w:spacing w:line="360" w:lineRule="auto"/>
        <w:jc w:val="both"/>
        <w:rPr>
          <w:rFonts w:cs="David"/>
          <w:sz w:val="26"/>
          <w:szCs w:val="26"/>
        </w:rPr>
      </w:pPr>
      <w:r>
        <w:rPr>
          <w:rFonts w:cs="David"/>
          <w:sz w:val="26"/>
          <w:szCs w:val="26"/>
          <w:rtl/>
        </w:rPr>
        <w:t xml:space="preserve">בע"א 132/21 </w:t>
      </w:r>
      <w:r>
        <w:rPr>
          <w:rFonts w:cs="David"/>
          <w:b/>
          <w:bCs/>
          <w:sz w:val="26"/>
          <w:szCs w:val="26"/>
          <w:rtl/>
        </w:rPr>
        <w:t>פלונית נ' פלוני</w:t>
      </w:r>
      <w:r>
        <w:rPr>
          <w:rFonts w:cs="David"/>
          <w:sz w:val="26"/>
          <w:szCs w:val="26"/>
          <w:rtl/>
        </w:rPr>
        <w:t xml:space="preserve"> </w:t>
      </w:r>
      <w:r>
        <w:rPr>
          <w:rFonts w:cs="David"/>
          <w:b/>
          <w:bCs/>
          <w:sz w:val="26"/>
          <w:szCs w:val="26"/>
          <w:rtl/>
        </w:rPr>
        <w:t>ואח'</w:t>
      </w:r>
      <w:r>
        <w:rPr>
          <w:rFonts w:cs="David"/>
          <w:sz w:val="26"/>
          <w:szCs w:val="26"/>
          <w:rtl/>
        </w:rPr>
        <w:t xml:space="preserve"> (מיום 13.4.2022), לא התערב בית המשפט העליון בפיצוי של 600,000 ₪ בראש נזק זה, שנפסק בגין ביצוע עבירות מין חמורות בקטינה מוגבלת, במספר אירועים שהתרחשו במספר ימים סמוכים, על ידי מספר משתתפים, עבירות שהותירו בנפגעת נכות בשיעור 10%, אשר התווספה לנכות הקודמת שהייתה לה (50%). צוין באותה פרשה כי התביעה נגד מספר מהמזיקים הסתיימה בפשרה, ובמסגרתה שולם פיצוי נוסף גם בראש נזק זה. בית המשפט העליון הזכיר באותו עניין, בין היתר, את הפיצוי שנפסק בראש נזק של כאב וסבל בשנת 2014, בסכום של 700,000 ₪, בת"א (מחוזי חיפה) 5539-04-09 </w:t>
      </w:r>
      <w:r>
        <w:rPr>
          <w:rFonts w:cs="David"/>
          <w:b/>
          <w:bCs/>
          <w:sz w:val="26"/>
          <w:szCs w:val="26"/>
          <w:rtl/>
        </w:rPr>
        <w:t>פלונית נ' פלוני</w:t>
      </w:r>
      <w:r>
        <w:rPr>
          <w:rFonts w:cs="David"/>
          <w:sz w:val="26"/>
          <w:szCs w:val="26"/>
          <w:rtl/>
        </w:rPr>
        <w:t xml:space="preserve"> (מיום 15.6.2014), לצעירה אשר במשך שנים ביצע בה בן הזוג של אמה עבירות מין שהותירו בה נכות של 20% ; </w:t>
      </w:r>
    </w:p>
    <w:p w:rsidR="008E1F04" w:rsidRDefault="008E1F04" w:rsidP="008E1F04">
      <w:pPr>
        <w:pStyle w:val="ad"/>
        <w:spacing w:line="360" w:lineRule="auto"/>
        <w:jc w:val="both"/>
        <w:rPr>
          <w:rFonts w:cs="David"/>
          <w:sz w:val="26"/>
          <w:szCs w:val="26"/>
        </w:rPr>
      </w:pPr>
      <w:r>
        <w:rPr>
          <w:rFonts w:cs="David"/>
          <w:sz w:val="26"/>
          <w:szCs w:val="26"/>
          <w:rtl/>
        </w:rPr>
        <w:t xml:space="preserve">ת"א (מחוזי חיפה) 518/07 </w:t>
      </w:r>
      <w:r>
        <w:rPr>
          <w:rFonts w:cs="David"/>
          <w:b/>
          <w:bCs/>
          <w:sz w:val="26"/>
          <w:szCs w:val="26"/>
          <w:rtl/>
        </w:rPr>
        <w:t>פלונית נ' פלוני</w:t>
      </w:r>
      <w:r>
        <w:rPr>
          <w:rFonts w:cs="David"/>
          <w:sz w:val="26"/>
          <w:szCs w:val="26"/>
          <w:rtl/>
        </w:rPr>
        <w:t xml:space="preserve"> (מיום 14.5.09), שם נפסק לקטינה, בשנת 2009, פיצוי של 800,000 ₪ בראש נזק זה, בגין מעשים רבים של אינוס ומעשים מגונים, אשר הותירו בה נכות בשיעור 30% (על פי חוות דעת מטעם התובעת, ו- 5% מטעם הנתבע); </w:t>
      </w:r>
    </w:p>
    <w:p w:rsidR="008E1F04" w:rsidRDefault="008E1F04" w:rsidP="008E1F04">
      <w:pPr>
        <w:pStyle w:val="ad"/>
        <w:spacing w:line="360" w:lineRule="auto"/>
        <w:jc w:val="both"/>
        <w:rPr>
          <w:rFonts w:cs="David"/>
          <w:sz w:val="26"/>
          <w:szCs w:val="26"/>
          <w:rtl/>
        </w:rPr>
      </w:pPr>
      <w:r>
        <w:rPr>
          <w:rFonts w:cs="David"/>
          <w:sz w:val="26"/>
          <w:szCs w:val="26"/>
          <w:rtl/>
        </w:rPr>
        <w:lastRenderedPageBreak/>
        <w:t xml:space="preserve">ת"א (מחוזי מרכז) 41447-02-20 </w:t>
      </w:r>
      <w:r>
        <w:rPr>
          <w:rFonts w:cs="David"/>
          <w:b/>
          <w:bCs/>
          <w:sz w:val="26"/>
          <w:szCs w:val="26"/>
          <w:rtl/>
        </w:rPr>
        <w:t>פלונית נ' חיים כץ</w:t>
      </w:r>
      <w:r>
        <w:rPr>
          <w:rFonts w:cs="David"/>
          <w:sz w:val="26"/>
          <w:szCs w:val="26"/>
          <w:rtl/>
        </w:rPr>
        <w:t xml:space="preserve"> (מיום 11.8.22) שם נפסק פיצוי בראש נזק זה בסכום של 900,000 ₪ בגין עבירות רבות של אינוס בתקופה ממושכת, אשר הותירו בנפגעת נכות בשיעור 45%;  </w:t>
      </w:r>
    </w:p>
    <w:p w:rsidR="008E1F04" w:rsidRDefault="008E1F04" w:rsidP="008E1F04">
      <w:pPr>
        <w:pStyle w:val="ad"/>
        <w:spacing w:line="360" w:lineRule="auto"/>
        <w:jc w:val="both"/>
        <w:rPr>
          <w:rFonts w:cs="David"/>
          <w:sz w:val="26"/>
          <w:szCs w:val="26"/>
          <w:rtl/>
        </w:rPr>
      </w:pPr>
      <w:r>
        <w:rPr>
          <w:rFonts w:cs="David"/>
          <w:sz w:val="26"/>
          <w:szCs w:val="26"/>
          <w:rtl/>
        </w:rPr>
        <w:t xml:space="preserve">ת"א (מחוזי מרכז) 52898-03-20 </w:t>
      </w:r>
      <w:r>
        <w:rPr>
          <w:rFonts w:cs="David"/>
          <w:b/>
          <w:bCs/>
          <w:sz w:val="26"/>
          <w:szCs w:val="26"/>
          <w:rtl/>
        </w:rPr>
        <w:t>פלונית נ' אלמוני</w:t>
      </w:r>
      <w:r>
        <w:rPr>
          <w:rFonts w:cs="David"/>
          <w:sz w:val="26"/>
          <w:szCs w:val="26"/>
          <w:rtl/>
        </w:rPr>
        <w:t xml:space="preserve"> (מיום 1.3.2022) שבו נפסק פיצוי בסכום של 1,000,000 ₪ בראש נזק זה, לתובעת קטינה שלא הגישה חוות דעת רפואית, בגין עשרות עבירות של אינוס ומעשה סדום; וכן פיצוי בסכום של 850,000 ₪ בראש נזק זה לתובעת קטינה שלא הגישה חוות דעת רפואית, בגין שלוש עבירות של אינוס, ניסיון למעשה סדום, ועבירות רבות של מעשים מגונים.    </w:t>
      </w:r>
    </w:p>
    <w:p w:rsidR="008E1F04" w:rsidRDefault="008E1F04" w:rsidP="008E1F04">
      <w:pPr>
        <w:pStyle w:val="ad"/>
        <w:spacing w:line="360" w:lineRule="auto"/>
        <w:jc w:val="both"/>
        <w:rPr>
          <w:rFonts w:cs="David"/>
          <w:sz w:val="26"/>
          <w:szCs w:val="26"/>
        </w:rPr>
      </w:pPr>
      <w:r>
        <w:rPr>
          <w:rFonts w:cs="David"/>
          <w:sz w:val="26"/>
          <w:szCs w:val="26"/>
          <w:rtl/>
        </w:rPr>
        <w:t xml:space="preserve">ת"א (מחוזי באר שבע) 47105-05-12 </w:t>
      </w:r>
      <w:r>
        <w:rPr>
          <w:rFonts w:cs="David"/>
          <w:b/>
          <w:bCs/>
          <w:sz w:val="26"/>
          <w:szCs w:val="26"/>
          <w:rtl/>
        </w:rPr>
        <w:t>ש.ש. קטינה ואח' נ' י.ש</w:t>
      </w:r>
      <w:r>
        <w:rPr>
          <w:rFonts w:cs="David"/>
          <w:sz w:val="26"/>
          <w:szCs w:val="26"/>
          <w:rtl/>
        </w:rPr>
        <w:t xml:space="preserve"> (מיום 13.4.2014) שם נפסק פיצוי בראש נזק זה בסכום 300,000 ₪ לשתי קטינות בגין מעשים מגונים שביצע בהן בן משפחה, אשר הותירו בהן נכות בשיעור 30% ו- 20%, לפי העניין. </w:t>
      </w:r>
    </w:p>
    <w:p w:rsidR="008E1F04" w:rsidRDefault="008E1F04" w:rsidP="008E1F04">
      <w:pPr>
        <w:pStyle w:val="ad"/>
        <w:spacing w:line="360" w:lineRule="auto"/>
        <w:jc w:val="both"/>
        <w:rPr>
          <w:rFonts w:ascii="David" w:hAnsi="David" w:cs="David"/>
          <w:sz w:val="26"/>
          <w:szCs w:val="26"/>
        </w:rPr>
      </w:pPr>
      <w:r>
        <w:rPr>
          <w:rFonts w:ascii="David" w:hAnsi="David" w:cs="David"/>
          <w:color w:val="000000"/>
          <w:sz w:val="26"/>
          <w:szCs w:val="26"/>
          <w:rtl/>
        </w:rPr>
        <w:t xml:space="preserve">ת"א (מחוזי באר שבע) 6071-10-20 </w:t>
      </w:r>
      <w:r>
        <w:rPr>
          <w:rFonts w:ascii="David" w:hAnsi="David" w:cs="David"/>
          <w:b/>
          <w:bCs/>
          <w:color w:val="000000"/>
          <w:sz w:val="26"/>
          <w:szCs w:val="26"/>
          <w:rtl/>
        </w:rPr>
        <w:t>פלונית ואח' נ' יהודה בן דוד</w:t>
      </w:r>
      <w:r>
        <w:rPr>
          <w:rFonts w:ascii="David" w:hAnsi="David" w:cs="David"/>
          <w:color w:val="000000"/>
          <w:sz w:val="26"/>
          <w:szCs w:val="26"/>
          <w:rtl/>
        </w:rPr>
        <w:t xml:space="preserve"> (מיום 26.02.2023)</w:t>
      </w:r>
      <w:r>
        <w:rPr>
          <w:rFonts w:ascii="David" w:hAnsi="David" w:cs="David"/>
          <w:sz w:val="26"/>
          <w:szCs w:val="26"/>
          <w:rtl/>
        </w:rPr>
        <w:t xml:space="preserve">, שבו פסקתי פיצוי בסכום 250,000 ₪ בגין כאב וסבל, בגין ביצוע שורה של מעשים מגונים בקטינה, בתקופה ממושכת, על ידי רב הקהילה, מעשים שהותירו בה נכות בשיעור 25%. </w:t>
      </w:r>
    </w:p>
    <w:p w:rsidR="008E1F04" w:rsidRDefault="008E1F04" w:rsidP="008E1F04">
      <w:pPr>
        <w:spacing w:line="360" w:lineRule="auto"/>
        <w:jc w:val="both"/>
        <w:rPr>
          <w:rFonts w:asciiTheme="minorHAnsi" w:hAnsiTheme="minorHAnsi"/>
          <w:b/>
          <w:bCs/>
          <w:sz w:val="26"/>
          <w:szCs w:val="26"/>
          <w:u w:val="single"/>
        </w:rPr>
      </w:pPr>
      <w:r>
        <w:rPr>
          <w:b/>
          <w:bCs/>
          <w:sz w:val="26"/>
          <w:szCs w:val="26"/>
          <w:u w:val="single"/>
          <w:rtl/>
        </w:rPr>
        <w:t>אבדן הכנסות</w:t>
      </w:r>
    </w:p>
    <w:p w:rsidR="008E1F04" w:rsidRDefault="008E1F04" w:rsidP="00130889">
      <w:pPr>
        <w:pStyle w:val="ad"/>
        <w:numPr>
          <w:ilvl w:val="0"/>
          <w:numId w:val="1"/>
        </w:numPr>
        <w:spacing w:line="360" w:lineRule="auto"/>
        <w:jc w:val="both"/>
        <w:rPr>
          <w:rFonts w:cs="David"/>
          <w:sz w:val="26"/>
          <w:szCs w:val="26"/>
        </w:rPr>
      </w:pPr>
      <w:r>
        <w:rPr>
          <w:rFonts w:cs="David"/>
          <w:sz w:val="26"/>
          <w:szCs w:val="26"/>
          <w:rtl/>
        </w:rPr>
        <w:t xml:space="preserve">מאז האירוע לא חזרה התובעת למעגל העבודה. הנתבע הפנה לפרסום שפרסמה התובעת אודות מכירת חתולים, פרסום חד פעמי במישור האישי, שאינו מעיד על עבודה קבועה. במהלך עדותה הראשית הבהירה התובעת כי מדובר בחתולים של אחיה, והיא ניסתה לסייע לו במכירתם, כך שגם אירוע חד פעמי זה לא הניב לה הכנסות כלשהן. </w:t>
      </w:r>
    </w:p>
    <w:p w:rsidR="008E1F04" w:rsidRDefault="008E1F04" w:rsidP="008E1F04">
      <w:pPr>
        <w:pStyle w:val="ad"/>
        <w:numPr>
          <w:ilvl w:val="0"/>
          <w:numId w:val="1"/>
        </w:numPr>
        <w:spacing w:line="360" w:lineRule="auto"/>
        <w:jc w:val="both"/>
        <w:rPr>
          <w:rFonts w:ascii="David" w:hAnsi="David" w:cs="David"/>
          <w:sz w:val="26"/>
          <w:szCs w:val="26"/>
        </w:rPr>
      </w:pPr>
      <w:r>
        <w:rPr>
          <w:rFonts w:ascii="David" w:hAnsi="David" w:cs="David"/>
          <w:sz w:val="26"/>
          <w:szCs w:val="26"/>
          <w:rtl/>
        </w:rPr>
        <w:t>בהתאם לחוות דעתה של המומחית מטעם בית המשפט, עומד שיעור נכותה של התובעת על 30%, בהתאם להוראות פרט 34(ב)(4) בתוספת לתקנות, אשר רכיב מהותי בו הוא קיומה של "</w:t>
      </w:r>
      <w:r>
        <w:rPr>
          <w:rFonts w:ascii="David" w:hAnsi="David" w:cs="David"/>
          <w:b/>
          <w:bCs/>
          <w:sz w:val="26"/>
          <w:szCs w:val="26"/>
          <w:rtl/>
        </w:rPr>
        <w:t xml:space="preserve"> הגבלה ניכרת על כושר העבודה."</w:t>
      </w:r>
      <w:r>
        <w:rPr>
          <w:rFonts w:ascii="David" w:hAnsi="David" w:cs="David"/>
          <w:sz w:val="26"/>
          <w:szCs w:val="26"/>
          <w:rtl/>
        </w:rPr>
        <w:t xml:space="preserve"> לתובעת הייתה כאמור נכות זמנית בשיעור 40% למשך  כשלוש שנים. </w:t>
      </w:r>
    </w:p>
    <w:p w:rsidR="008E1F04" w:rsidRDefault="008E1F04" w:rsidP="008E1F04">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במועד האירוע הייתה התובעת בת 25 שנים, ועבדה בפלאפון בעבודה חלקית, בתמורה לכ- 4,000 ₪ בחודש. בשנים קודמות עבדה בהוראה בפנימייה, על רקע לימודיה, תמורת שכר נמוך בהרבה.  </w:t>
      </w:r>
    </w:p>
    <w:p w:rsidR="008E1F04" w:rsidRDefault="008E1F04" w:rsidP="00130889">
      <w:pPr>
        <w:pStyle w:val="ad"/>
        <w:numPr>
          <w:ilvl w:val="0"/>
          <w:numId w:val="1"/>
        </w:numPr>
        <w:spacing w:line="360" w:lineRule="auto"/>
        <w:jc w:val="both"/>
        <w:rPr>
          <w:rFonts w:ascii="David" w:hAnsi="David" w:cs="David"/>
          <w:sz w:val="26"/>
          <w:szCs w:val="26"/>
        </w:rPr>
      </w:pPr>
      <w:r>
        <w:rPr>
          <w:rFonts w:ascii="David" w:hAnsi="David" w:cs="David"/>
          <w:sz w:val="26"/>
          <w:szCs w:val="26"/>
          <w:rtl/>
        </w:rPr>
        <w:t>אמנם התובעת הייתה צעירה במועד האירוע, ואולם ההיסטוריה ה</w:t>
      </w:r>
      <w:r w:rsidR="00130889">
        <w:rPr>
          <w:rFonts w:ascii="David" w:hAnsi="David" w:cs="David" w:hint="cs"/>
          <w:sz w:val="26"/>
          <w:szCs w:val="26"/>
          <w:rtl/>
        </w:rPr>
        <w:t>ת</w:t>
      </w:r>
      <w:r>
        <w:rPr>
          <w:rFonts w:ascii="David" w:hAnsi="David" w:cs="David"/>
          <w:sz w:val="26"/>
          <w:szCs w:val="26"/>
          <w:rtl/>
        </w:rPr>
        <w:t>ע</w:t>
      </w:r>
      <w:r w:rsidR="00130889">
        <w:rPr>
          <w:rFonts w:ascii="David" w:hAnsi="David" w:cs="David" w:hint="cs"/>
          <w:sz w:val="26"/>
          <w:szCs w:val="26"/>
          <w:rtl/>
        </w:rPr>
        <w:t>סוקת</w:t>
      </w:r>
      <w:r>
        <w:rPr>
          <w:rFonts w:ascii="David" w:hAnsi="David" w:cs="David"/>
          <w:sz w:val="26"/>
          <w:szCs w:val="26"/>
          <w:rtl/>
        </w:rPr>
        <w:t xml:space="preserve">ית שלה החלה להתגבש, וניתן לטעמי להניח </w:t>
      </w:r>
      <w:r w:rsidR="00130889">
        <w:rPr>
          <w:rFonts w:ascii="David" w:hAnsi="David" w:cs="David" w:hint="cs"/>
          <w:sz w:val="26"/>
          <w:szCs w:val="26"/>
          <w:rtl/>
        </w:rPr>
        <w:t xml:space="preserve">על יסוד היסטוריה תעסוקתית זו </w:t>
      </w:r>
      <w:r>
        <w:rPr>
          <w:rFonts w:ascii="David" w:hAnsi="David" w:cs="David"/>
          <w:sz w:val="26"/>
          <w:szCs w:val="26"/>
          <w:rtl/>
        </w:rPr>
        <w:t xml:space="preserve">שבסיס שכרה של התובעת אלמלא האירוע היה עומד היום על שכר המינימום, </w:t>
      </w:r>
      <w:r w:rsidR="00130889">
        <w:rPr>
          <w:rFonts w:ascii="David" w:hAnsi="David" w:cs="David" w:hint="cs"/>
          <w:sz w:val="26"/>
          <w:szCs w:val="26"/>
          <w:rtl/>
        </w:rPr>
        <w:t>(</w:t>
      </w:r>
      <w:r>
        <w:rPr>
          <w:rFonts w:ascii="David" w:hAnsi="David" w:cs="David"/>
          <w:sz w:val="26"/>
          <w:szCs w:val="26"/>
          <w:rtl/>
        </w:rPr>
        <w:t xml:space="preserve"> 5,571 ₪</w:t>
      </w:r>
      <w:r w:rsidR="00130889">
        <w:rPr>
          <w:rFonts w:ascii="David" w:hAnsi="David" w:cs="David" w:hint="cs"/>
          <w:sz w:val="26"/>
          <w:szCs w:val="26"/>
          <w:rtl/>
        </w:rPr>
        <w:t>)</w:t>
      </w:r>
      <w:r>
        <w:rPr>
          <w:rFonts w:ascii="David" w:hAnsi="David" w:cs="David"/>
          <w:sz w:val="26"/>
          <w:szCs w:val="26"/>
          <w:rtl/>
        </w:rPr>
        <w:t xml:space="preserve">. </w:t>
      </w:r>
      <w:r w:rsidR="00130889">
        <w:rPr>
          <w:rFonts w:ascii="David" w:hAnsi="David" w:cs="David" w:hint="cs"/>
          <w:sz w:val="26"/>
          <w:szCs w:val="26"/>
          <w:rtl/>
        </w:rPr>
        <w:t xml:space="preserve">עוד </w:t>
      </w:r>
      <w:r>
        <w:rPr>
          <w:rFonts w:ascii="David" w:hAnsi="David" w:cs="David"/>
          <w:sz w:val="26"/>
          <w:szCs w:val="26"/>
          <w:rtl/>
        </w:rPr>
        <w:lastRenderedPageBreak/>
        <w:t xml:space="preserve">סביר להניח כי בסיס שכרה </w:t>
      </w:r>
      <w:r w:rsidR="00130889">
        <w:rPr>
          <w:rFonts w:ascii="David" w:hAnsi="David" w:cs="David" w:hint="cs"/>
          <w:sz w:val="26"/>
          <w:szCs w:val="26"/>
          <w:rtl/>
        </w:rPr>
        <w:t xml:space="preserve">של התובעת </w:t>
      </w:r>
      <w:r>
        <w:rPr>
          <w:rFonts w:ascii="David" w:hAnsi="David" w:cs="David"/>
          <w:sz w:val="26"/>
          <w:szCs w:val="26"/>
          <w:rtl/>
        </w:rPr>
        <w:t>אלמלא האירוע</w:t>
      </w:r>
      <w:r w:rsidR="00130889">
        <w:rPr>
          <w:rFonts w:ascii="David" w:hAnsi="David" w:cs="David" w:hint="cs"/>
          <w:sz w:val="26"/>
          <w:szCs w:val="26"/>
          <w:rtl/>
        </w:rPr>
        <w:t>,</w:t>
      </w:r>
      <w:r>
        <w:rPr>
          <w:rFonts w:ascii="David" w:hAnsi="David" w:cs="David"/>
          <w:sz w:val="26"/>
          <w:szCs w:val="26"/>
          <w:rtl/>
        </w:rPr>
        <w:t xml:space="preserve"> היה עומד בשנתיים וחצי הראשונות לאחר האירוע על- 4,000 ₪, כגובה שכרה במועד האירוע, ו</w:t>
      </w:r>
      <w:r w:rsidR="00130889">
        <w:rPr>
          <w:rFonts w:ascii="David" w:hAnsi="David" w:cs="David" w:hint="cs"/>
          <w:sz w:val="26"/>
          <w:szCs w:val="26"/>
          <w:rtl/>
        </w:rPr>
        <w:t xml:space="preserve">על </w:t>
      </w:r>
      <w:r w:rsidR="00130889">
        <w:rPr>
          <w:rFonts w:ascii="David" w:hAnsi="David" w:cs="David"/>
          <w:sz w:val="26"/>
          <w:szCs w:val="26"/>
          <w:rtl/>
        </w:rPr>
        <w:t>5,300 ₪</w:t>
      </w:r>
      <w:r w:rsidR="00130889" w:rsidRPr="00130889">
        <w:rPr>
          <w:rFonts w:ascii="David" w:hAnsi="David" w:cs="David"/>
          <w:sz w:val="26"/>
          <w:szCs w:val="26"/>
          <w:rtl/>
        </w:rPr>
        <w:t xml:space="preserve"> </w:t>
      </w:r>
      <w:r w:rsidR="00130889">
        <w:rPr>
          <w:rFonts w:ascii="David" w:hAnsi="David" w:cs="David"/>
          <w:sz w:val="26"/>
          <w:szCs w:val="26"/>
          <w:rtl/>
        </w:rPr>
        <w:t>בשנתיים וחצי שלאחר מכן</w:t>
      </w:r>
      <w:r w:rsidR="00130889">
        <w:rPr>
          <w:rFonts w:ascii="David" w:hAnsi="David" w:cs="David" w:hint="cs"/>
          <w:sz w:val="26"/>
          <w:szCs w:val="26"/>
          <w:rtl/>
        </w:rPr>
        <w:t xml:space="preserve"> עד היום,</w:t>
      </w:r>
      <w:r>
        <w:rPr>
          <w:rFonts w:ascii="David" w:hAnsi="David" w:cs="David"/>
          <w:sz w:val="26"/>
          <w:szCs w:val="26"/>
          <w:rtl/>
        </w:rPr>
        <w:t xml:space="preserve"> כגובה שכר המינימום. </w:t>
      </w:r>
    </w:p>
    <w:p w:rsidR="008E1F04" w:rsidRDefault="008E1F04" w:rsidP="008E1F04">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בשים לב לשיעור הנכות ולהנחות בדבר בסיס השכר, אני פוסקת לתובעת פיצוי בסכום של </w:t>
      </w:r>
      <w:r>
        <w:rPr>
          <w:rFonts w:cs="David"/>
          <w:b/>
          <w:bCs/>
          <w:sz w:val="26"/>
          <w:szCs w:val="26"/>
          <w:rtl/>
        </w:rPr>
        <w:t>300,253</w:t>
      </w:r>
      <w:r>
        <w:rPr>
          <w:rFonts w:cs="David"/>
          <w:sz w:val="26"/>
          <w:szCs w:val="26"/>
          <w:rtl/>
        </w:rPr>
        <w:t xml:space="preserve"> ₪  </w:t>
      </w:r>
      <w:r>
        <w:rPr>
          <w:rFonts w:ascii="David" w:hAnsi="David" w:cs="David"/>
          <w:sz w:val="26"/>
          <w:szCs w:val="26"/>
          <w:rtl/>
        </w:rPr>
        <w:t xml:space="preserve">בגין הפסד הכנסות בעבר; </w:t>
      </w:r>
      <w:r>
        <w:rPr>
          <w:rFonts w:cs="David"/>
          <w:b/>
          <w:bCs/>
          <w:sz w:val="26"/>
          <w:szCs w:val="26"/>
          <w:rtl/>
        </w:rPr>
        <w:t>396,414</w:t>
      </w:r>
      <w:r>
        <w:rPr>
          <w:rFonts w:cs="David"/>
          <w:sz w:val="26"/>
          <w:szCs w:val="26"/>
          <w:rtl/>
        </w:rPr>
        <w:t xml:space="preserve"> ₪</w:t>
      </w:r>
      <w:r>
        <w:rPr>
          <w:rFonts w:ascii="David" w:hAnsi="David" w:cs="David"/>
          <w:sz w:val="26"/>
          <w:szCs w:val="26"/>
          <w:rtl/>
        </w:rPr>
        <w:t xml:space="preserve"> בגין הפסד הכנסות בעתיד (בהנחה של גריעה מכושר השתכרות בשיעור 30%, עבודה עד גיל 67 (מ"ה </w:t>
      </w:r>
      <w:r>
        <w:rPr>
          <w:rFonts w:cs="David"/>
          <w:sz w:val="26"/>
          <w:szCs w:val="26"/>
          <w:rtl/>
        </w:rPr>
        <w:t>237.1894</w:t>
      </w:r>
      <w:r>
        <w:rPr>
          <w:rFonts w:ascii="David" w:hAnsi="David" w:cs="David"/>
          <w:sz w:val="26"/>
          <w:szCs w:val="26"/>
          <w:rtl/>
        </w:rPr>
        <w:t xml:space="preserve">), והפסד פנסיה בסכום של </w:t>
      </w:r>
      <w:r>
        <w:rPr>
          <w:rFonts w:cs="David"/>
          <w:b/>
          <w:bCs/>
          <w:sz w:val="26"/>
          <w:szCs w:val="26"/>
          <w:rtl/>
        </w:rPr>
        <w:t>87,083</w:t>
      </w:r>
      <w:r>
        <w:rPr>
          <w:rFonts w:cs="David"/>
          <w:sz w:val="26"/>
          <w:szCs w:val="26"/>
          <w:rtl/>
        </w:rPr>
        <w:t xml:space="preserve"> ₪  </w:t>
      </w:r>
      <w:r>
        <w:rPr>
          <w:rFonts w:ascii="David" w:hAnsi="David" w:cs="David"/>
          <w:sz w:val="26"/>
          <w:szCs w:val="26"/>
          <w:rtl/>
        </w:rPr>
        <w:t xml:space="preserve">(12.5%). סה"כ בגין הפסדי הכנסות בעבר ובעתיד והפסדי פנסיה- </w:t>
      </w:r>
      <w:r>
        <w:rPr>
          <w:rFonts w:ascii="David" w:hAnsi="David" w:cs="David"/>
          <w:b/>
          <w:bCs/>
          <w:sz w:val="26"/>
          <w:szCs w:val="26"/>
          <w:rtl/>
        </w:rPr>
        <w:t>783,750</w:t>
      </w:r>
      <w:r>
        <w:rPr>
          <w:rFonts w:ascii="David" w:hAnsi="David" w:cs="David"/>
          <w:sz w:val="26"/>
          <w:szCs w:val="26"/>
          <w:rtl/>
        </w:rPr>
        <w:t xml:space="preserve"> ₪. </w:t>
      </w:r>
    </w:p>
    <w:p w:rsidR="008E1F04" w:rsidRPr="00130889" w:rsidRDefault="008E1F04" w:rsidP="008E1F04">
      <w:pPr>
        <w:spacing w:line="360" w:lineRule="auto"/>
        <w:ind w:left="360"/>
        <w:jc w:val="both"/>
        <w:rPr>
          <w:rFonts w:ascii="David" w:hAnsi="David"/>
          <w:sz w:val="26"/>
          <w:szCs w:val="26"/>
          <w:u w:val="single"/>
        </w:rPr>
      </w:pPr>
      <w:r w:rsidRPr="00130889">
        <w:rPr>
          <w:rFonts w:ascii="David" w:hAnsi="David"/>
          <w:b/>
          <w:bCs/>
          <w:sz w:val="26"/>
          <w:szCs w:val="26"/>
          <w:u w:val="single"/>
          <w:rtl/>
        </w:rPr>
        <w:t>הוצאות</w:t>
      </w:r>
      <w:r w:rsidRPr="00130889">
        <w:rPr>
          <w:rFonts w:ascii="David" w:hAnsi="David"/>
          <w:sz w:val="26"/>
          <w:szCs w:val="26"/>
          <w:u w:val="single"/>
          <w:rtl/>
        </w:rPr>
        <w:t xml:space="preserve"> </w:t>
      </w:r>
    </w:p>
    <w:p w:rsidR="008E1F04" w:rsidRDefault="008E1F04" w:rsidP="008E1F04">
      <w:pPr>
        <w:pStyle w:val="ad"/>
        <w:numPr>
          <w:ilvl w:val="0"/>
          <w:numId w:val="1"/>
        </w:numPr>
        <w:spacing w:after="0" w:line="360" w:lineRule="auto"/>
        <w:jc w:val="both"/>
        <w:rPr>
          <w:rFonts w:ascii="David" w:eastAsia="Times New Roman" w:hAnsi="David" w:cs="David"/>
          <w:sz w:val="26"/>
          <w:szCs w:val="26"/>
          <w:rtl/>
        </w:rPr>
      </w:pPr>
      <w:r>
        <w:rPr>
          <w:rFonts w:ascii="David" w:eastAsia="Times New Roman" w:hAnsi="David" w:cs="David"/>
          <w:sz w:val="26"/>
          <w:szCs w:val="26"/>
          <w:rtl/>
        </w:rPr>
        <w:t xml:space="preserve">המומחית פירט בחוות הדעת </w:t>
      </w:r>
      <w:r w:rsidR="00130889">
        <w:rPr>
          <w:rFonts w:ascii="David" w:eastAsia="Times New Roman" w:hAnsi="David" w:cs="David" w:hint="cs"/>
          <w:sz w:val="26"/>
          <w:szCs w:val="26"/>
          <w:rtl/>
        </w:rPr>
        <w:t>את ה</w:t>
      </w:r>
      <w:r>
        <w:rPr>
          <w:rFonts w:ascii="David" w:eastAsia="Times New Roman" w:hAnsi="David" w:cs="David"/>
          <w:sz w:val="26"/>
          <w:szCs w:val="26"/>
          <w:rtl/>
        </w:rPr>
        <w:t xml:space="preserve">טיפולים </w:t>
      </w:r>
      <w:r w:rsidR="00130889">
        <w:rPr>
          <w:rFonts w:ascii="David" w:eastAsia="Times New Roman" w:hAnsi="David" w:cs="David" w:hint="cs"/>
          <w:sz w:val="26"/>
          <w:szCs w:val="26"/>
          <w:rtl/>
        </w:rPr>
        <w:t>ה</w:t>
      </w:r>
      <w:r>
        <w:rPr>
          <w:rFonts w:ascii="David" w:eastAsia="Times New Roman" w:hAnsi="David" w:cs="David"/>
          <w:sz w:val="26"/>
          <w:szCs w:val="26"/>
          <w:rtl/>
        </w:rPr>
        <w:t xml:space="preserve">פסיכולוגיים </w:t>
      </w:r>
      <w:r w:rsidR="00130889">
        <w:rPr>
          <w:rFonts w:ascii="David" w:eastAsia="Times New Roman" w:hAnsi="David" w:cs="David" w:hint="cs"/>
          <w:sz w:val="26"/>
          <w:szCs w:val="26"/>
          <w:rtl/>
        </w:rPr>
        <w:t>ה</w:t>
      </w:r>
      <w:r>
        <w:rPr>
          <w:rFonts w:ascii="David" w:eastAsia="Times New Roman" w:hAnsi="David" w:cs="David"/>
          <w:sz w:val="26"/>
          <w:szCs w:val="26"/>
          <w:rtl/>
        </w:rPr>
        <w:t>נדרשים ואת עלותם. כמו כן פורט הטיפול התרופתי</w:t>
      </w:r>
      <w:r w:rsidR="00130889">
        <w:rPr>
          <w:rFonts w:ascii="David" w:eastAsia="Times New Roman" w:hAnsi="David" w:cs="David" w:hint="cs"/>
          <w:sz w:val="26"/>
          <w:szCs w:val="26"/>
          <w:rtl/>
        </w:rPr>
        <w:t xml:space="preserve"> הנחוץ</w:t>
      </w:r>
      <w:r>
        <w:rPr>
          <w:rFonts w:ascii="David" w:eastAsia="Times New Roman" w:hAnsi="David" w:cs="David"/>
          <w:sz w:val="26"/>
          <w:szCs w:val="26"/>
          <w:rtl/>
        </w:rPr>
        <w:t xml:space="preserve">. בהתאם לחוות דעתה של המומחית מצאתי שיש לפסוק לתובעת פיצוי בסכום של  </w:t>
      </w:r>
      <w:r>
        <w:rPr>
          <w:rFonts w:ascii="Arial" w:eastAsia="Times New Roman" w:hAnsi="Arial" w:cs="David"/>
          <w:b/>
          <w:bCs/>
          <w:sz w:val="26"/>
          <w:szCs w:val="26"/>
          <w:rtl/>
          <w:lang w:eastAsia="he-IL"/>
        </w:rPr>
        <w:t xml:space="preserve">100,000 </w:t>
      </w:r>
      <w:r>
        <w:rPr>
          <w:rFonts w:ascii="Arial" w:eastAsia="Times New Roman" w:hAnsi="Arial" w:cs="David"/>
          <w:sz w:val="26"/>
          <w:szCs w:val="26"/>
          <w:rtl/>
          <w:lang w:eastAsia="he-IL"/>
        </w:rPr>
        <w:t>₪</w:t>
      </w:r>
      <w:r>
        <w:rPr>
          <w:rFonts w:ascii="David" w:eastAsia="Times New Roman" w:hAnsi="David" w:cs="David"/>
          <w:sz w:val="26"/>
          <w:szCs w:val="26"/>
          <w:rtl/>
        </w:rPr>
        <w:t xml:space="preserve"> בראש נזק זה (טיפול פסיכולוגי לשנתיים וטיפול תרופתי, במעוגל).</w:t>
      </w:r>
    </w:p>
    <w:p w:rsidR="00A02CEC" w:rsidRDefault="00A02CEC" w:rsidP="00A02CEC">
      <w:pPr>
        <w:spacing w:line="360" w:lineRule="auto"/>
        <w:ind w:left="360"/>
        <w:jc w:val="both"/>
        <w:rPr>
          <w:rFonts w:ascii="David" w:hAnsi="David"/>
          <w:b/>
          <w:bCs/>
          <w:sz w:val="26"/>
          <w:szCs w:val="26"/>
          <w:u w:val="single"/>
          <w:rtl/>
        </w:rPr>
      </w:pPr>
    </w:p>
    <w:p w:rsidR="008E1F04" w:rsidRPr="00A02CEC" w:rsidRDefault="008E1F04" w:rsidP="00A02CEC">
      <w:pPr>
        <w:spacing w:line="360" w:lineRule="auto"/>
        <w:ind w:left="360"/>
        <w:jc w:val="both"/>
        <w:rPr>
          <w:rFonts w:ascii="David" w:hAnsi="David"/>
          <w:sz w:val="26"/>
          <w:szCs w:val="26"/>
          <w:u w:val="single"/>
          <w:rtl/>
        </w:rPr>
      </w:pPr>
      <w:r w:rsidRPr="00A02CEC">
        <w:rPr>
          <w:rFonts w:ascii="David" w:hAnsi="David"/>
          <w:b/>
          <w:bCs/>
          <w:sz w:val="26"/>
          <w:szCs w:val="26"/>
          <w:u w:val="single"/>
          <w:rtl/>
        </w:rPr>
        <w:t>עזרת הזולת</w:t>
      </w:r>
      <w:r w:rsidRPr="00A02CEC">
        <w:rPr>
          <w:rFonts w:ascii="David" w:hAnsi="David"/>
          <w:sz w:val="26"/>
          <w:szCs w:val="26"/>
          <w:u w:val="single"/>
          <w:rtl/>
        </w:rPr>
        <w:t>-</w:t>
      </w:r>
    </w:p>
    <w:p w:rsidR="008E1F04" w:rsidRDefault="008E1F04" w:rsidP="00A02CEC">
      <w:pPr>
        <w:pStyle w:val="ad"/>
        <w:numPr>
          <w:ilvl w:val="0"/>
          <w:numId w:val="1"/>
        </w:numPr>
        <w:spacing w:after="0" w:line="360" w:lineRule="auto"/>
        <w:jc w:val="both"/>
        <w:rPr>
          <w:rFonts w:ascii="David" w:eastAsia="Times New Roman" w:hAnsi="David" w:cs="David"/>
          <w:sz w:val="26"/>
          <w:szCs w:val="26"/>
          <w:rtl/>
        </w:rPr>
      </w:pPr>
      <w:r>
        <w:rPr>
          <w:rFonts w:ascii="David" w:eastAsia="Times New Roman" w:hAnsi="David" w:cs="David"/>
          <w:sz w:val="26"/>
          <w:szCs w:val="26"/>
          <w:rtl/>
        </w:rPr>
        <w:t>בשים לב לטיבה של הנכות ולשיעורה</w:t>
      </w:r>
      <w:r w:rsidR="00A02CEC">
        <w:rPr>
          <w:rFonts w:ascii="David" w:eastAsia="Times New Roman" w:hAnsi="David" w:cs="David" w:hint="cs"/>
          <w:sz w:val="26"/>
          <w:szCs w:val="26"/>
          <w:rtl/>
        </w:rPr>
        <w:t xml:space="preserve">, הפגיעה בתפקוד הנלמדת מחוות דעתה של המומחית ומתצהירה של התובעת כאחד, </w:t>
      </w:r>
      <w:r>
        <w:rPr>
          <w:rFonts w:ascii="David" w:eastAsia="Times New Roman" w:hAnsi="David" w:cs="David"/>
          <w:sz w:val="26"/>
          <w:szCs w:val="26"/>
          <w:rtl/>
        </w:rPr>
        <w:t xml:space="preserve">מצאתי </w:t>
      </w:r>
      <w:r w:rsidR="00A02CEC">
        <w:rPr>
          <w:rFonts w:ascii="David" w:eastAsia="Times New Roman" w:hAnsi="David" w:cs="David" w:hint="cs"/>
          <w:sz w:val="26"/>
          <w:szCs w:val="26"/>
          <w:rtl/>
        </w:rPr>
        <w:t xml:space="preserve">שי </w:t>
      </w:r>
      <w:r>
        <w:rPr>
          <w:rFonts w:ascii="David" w:eastAsia="Times New Roman" w:hAnsi="David" w:cs="David"/>
          <w:sz w:val="26"/>
          <w:szCs w:val="26"/>
          <w:rtl/>
        </w:rPr>
        <w:t xml:space="preserve">לפסוק לתובעת פיצוי </w:t>
      </w:r>
      <w:r w:rsidR="00A02CEC">
        <w:rPr>
          <w:rFonts w:ascii="David" w:eastAsia="Times New Roman" w:hAnsi="David" w:cs="David" w:hint="cs"/>
          <w:sz w:val="26"/>
          <w:szCs w:val="26"/>
          <w:rtl/>
        </w:rPr>
        <w:t xml:space="preserve">בסך </w:t>
      </w:r>
      <w:r>
        <w:rPr>
          <w:rFonts w:ascii="David" w:eastAsia="Times New Roman" w:hAnsi="David" w:cs="David"/>
          <w:b/>
          <w:bCs/>
          <w:sz w:val="26"/>
          <w:szCs w:val="26"/>
          <w:rtl/>
        </w:rPr>
        <w:t>30,000</w:t>
      </w:r>
      <w:r>
        <w:rPr>
          <w:rFonts w:ascii="David" w:eastAsia="Times New Roman" w:hAnsi="David" w:cs="David"/>
          <w:sz w:val="26"/>
          <w:szCs w:val="26"/>
          <w:rtl/>
        </w:rPr>
        <w:t xml:space="preserve"> ₪ בראש נזק זה.</w:t>
      </w:r>
    </w:p>
    <w:p w:rsidR="00A02CEC" w:rsidRDefault="00A02CEC" w:rsidP="008E1F04">
      <w:pPr>
        <w:spacing w:line="360" w:lineRule="auto"/>
        <w:ind w:left="360"/>
        <w:jc w:val="both"/>
        <w:rPr>
          <w:rFonts w:ascii="David" w:hAnsi="David"/>
          <w:b/>
          <w:bCs/>
          <w:sz w:val="26"/>
          <w:szCs w:val="26"/>
          <w:u w:val="single"/>
          <w:rtl/>
        </w:rPr>
      </w:pPr>
    </w:p>
    <w:p w:rsidR="008E1F04" w:rsidRDefault="008E1F04" w:rsidP="008E1F04">
      <w:pPr>
        <w:spacing w:line="360" w:lineRule="auto"/>
        <w:ind w:left="360"/>
        <w:jc w:val="both"/>
        <w:rPr>
          <w:rFonts w:ascii="David" w:hAnsi="David"/>
          <w:b/>
          <w:bCs/>
          <w:sz w:val="26"/>
          <w:szCs w:val="26"/>
          <w:u w:val="single"/>
        </w:rPr>
      </w:pPr>
      <w:r>
        <w:rPr>
          <w:rFonts w:ascii="David" w:hAnsi="David"/>
          <w:b/>
          <w:bCs/>
          <w:sz w:val="26"/>
          <w:szCs w:val="26"/>
          <w:u w:val="single"/>
          <w:rtl/>
        </w:rPr>
        <w:t xml:space="preserve">סה"כ הנזק </w:t>
      </w:r>
    </w:p>
    <w:p w:rsidR="008E1F04" w:rsidRDefault="008E1F04" w:rsidP="008E1F04">
      <w:pPr>
        <w:pStyle w:val="ad"/>
        <w:numPr>
          <w:ilvl w:val="0"/>
          <w:numId w:val="1"/>
        </w:numPr>
        <w:spacing w:line="360" w:lineRule="auto"/>
        <w:jc w:val="both"/>
        <w:rPr>
          <w:rFonts w:ascii="David" w:hAnsi="David" w:cs="David"/>
          <w:sz w:val="26"/>
          <w:szCs w:val="26"/>
          <w:rtl/>
        </w:rPr>
      </w:pPr>
      <w:r>
        <w:rPr>
          <w:rFonts w:ascii="David" w:hAnsi="David" w:cs="David"/>
          <w:sz w:val="26"/>
          <w:szCs w:val="26"/>
          <w:rtl/>
        </w:rPr>
        <w:t>סה"כ יש לפסוק לתובעת פיצוי בסכום של 1,513,750 ₪. מסכום זה יש להפחית את הפיצוי שנפסק לתובעת בהליך הפלילי</w:t>
      </w:r>
      <w:r w:rsidR="00A02CEC">
        <w:rPr>
          <w:rFonts w:ascii="David" w:hAnsi="David" w:cs="David" w:hint="cs"/>
          <w:sz w:val="26"/>
          <w:szCs w:val="26"/>
          <w:rtl/>
        </w:rPr>
        <w:t>, בסך של 50,000 ₪</w:t>
      </w:r>
      <w:r>
        <w:rPr>
          <w:rFonts w:ascii="David" w:hAnsi="David" w:cs="David"/>
          <w:sz w:val="26"/>
          <w:szCs w:val="26"/>
          <w:rtl/>
        </w:rPr>
        <w:t xml:space="preserve">. </w:t>
      </w:r>
    </w:p>
    <w:p w:rsidR="008E1F04" w:rsidRDefault="008E1F04" w:rsidP="008E1F04">
      <w:pPr>
        <w:spacing w:line="360" w:lineRule="auto"/>
        <w:ind w:left="360"/>
        <w:jc w:val="both"/>
        <w:rPr>
          <w:rFonts w:ascii="David" w:hAnsi="David"/>
          <w:b/>
          <w:bCs/>
          <w:sz w:val="26"/>
          <w:szCs w:val="26"/>
          <w:u w:val="single"/>
        </w:rPr>
      </w:pPr>
      <w:r>
        <w:rPr>
          <w:rFonts w:ascii="David" w:hAnsi="David"/>
          <w:b/>
          <w:bCs/>
          <w:sz w:val="26"/>
          <w:szCs w:val="26"/>
          <w:u w:val="single"/>
          <w:rtl/>
        </w:rPr>
        <w:t>ניכוי תגמולי המל"ל</w:t>
      </w:r>
    </w:p>
    <w:p w:rsidR="008E1F04" w:rsidRDefault="008E1F04" w:rsidP="00A02CEC">
      <w:pPr>
        <w:numPr>
          <w:ilvl w:val="0"/>
          <w:numId w:val="1"/>
        </w:numPr>
        <w:spacing w:line="360" w:lineRule="auto"/>
        <w:contextualSpacing/>
        <w:jc w:val="both"/>
        <w:rPr>
          <w:rFonts w:ascii="David" w:hAnsi="David"/>
          <w:sz w:val="26"/>
          <w:szCs w:val="26"/>
        </w:rPr>
      </w:pPr>
      <w:r>
        <w:rPr>
          <w:rFonts w:ascii="David" w:hAnsi="David"/>
          <w:sz w:val="26"/>
          <w:szCs w:val="26"/>
          <w:rtl/>
        </w:rPr>
        <w:t xml:space="preserve">כלל בסיסי הוא כי מהפיצוי שמשלם המזיק לניזוק ינוכו תגמולי המוסד לביטוח לאומי המשולמים לניזוק, וזאת מהטעם שבמערכת היחסים ניזוק- מזיק- מוסד לביטוח לאומי אין לחייב את המזיק, הצפוי לתביעת שיבוב מהמוסד לביטוח לאומי, בתשלום פיצוי הגבוה מסכום הנזק; ומצד שני, אין הניזוק זכאי לתשלום פיצוי העולה על ניזקו (ראו למשל רע"א 496/22 </w:t>
      </w:r>
      <w:r>
        <w:rPr>
          <w:rFonts w:ascii="David" w:hAnsi="David"/>
          <w:b/>
          <w:bCs/>
          <w:sz w:val="26"/>
          <w:szCs w:val="26"/>
          <w:rtl/>
        </w:rPr>
        <w:t xml:space="preserve">פלונית נ' שומרה חברה לביטוח </w:t>
      </w:r>
      <w:r>
        <w:rPr>
          <w:rFonts w:ascii="David" w:hAnsi="David"/>
          <w:sz w:val="26"/>
          <w:szCs w:val="26"/>
          <w:rtl/>
        </w:rPr>
        <w:t>(מיום 20.3.2022)</w:t>
      </w:r>
      <w:r w:rsidR="00A02CEC">
        <w:rPr>
          <w:rFonts w:ascii="David" w:hAnsi="David" w:hint="cs"/>
          <w:sz w:val="26"/>
          <w:szCs w:val="26"/>
          <w:rtl/>
        </w:rPr>
        <w:t>)</w:t>
      </w:r>
      <w:r>
        <w:rPr>
          <w:rFonts w:ascii="David" w:hAnsi="David"/>
          <w:sz w:val="26"/>
          <w:szCs w:val="26"/>
          <w:rtl/>
        </w:rPr>
        <w:t xml:space="preserve"> . </w:t>
      </w:r>
    </w:p>
    <w:p w:rsidR="008E1F04" w:rsidRDefault="008E1F04" w:rsidP="00A02CEC">
      <w:pPr>
        <w:numPr>
          <w:ilvl w:val="0"/>
          <w:numId w:val="1"/>
        </w:numPr>
        <w:spacing w:line="360" w:lineRule="auto"/>
        <w:contextualSpacing/>
        <w:jc w:val="both"/>
        <w:rPr>
          <w:rFonts w:ascii="David" w:hAnsi="David"/>
          <w:sz w:val="26"/>
          <w:szCs w:val="26"/>
        </w:rPr>
      </w:pPr>
      <w:r>
        <w:rPr>
          <w:rFonts w:ascii="David" w:hAnsi="David"/>
          <w:sz w:val="26"/>
          <w:szCs w:val="26"/>
          <w:rtl/>
        </w:rPr>
        <w:lastRenderedPageBreak/>
        <w:t>בהלכה הפסוקה נקבע</w:t>
      </w:r>
      <w:r>
        <w:rPr>
          <w:rFonts w:ascii="David" w:hAnsi="David"/>
          <w:b/>
          <w:bCs/>
          <w:sz w:val="26"/>
          <w:szCs w:val="26"/>
          <w:rtl/>
        </w:rPr>
        <w:t xml:space="preserve"> </w:t>
      </w:r>
      <w:r>
        <w:rPr>
          <w:rFonts w:ascii="David" w:hAnsi="David"/>
          <w:sz w:val="26"/>
          <w:szCs w:val="26"/>
          <w:rtl/>
        </w:rPr>
        <w:t>כי</w:t>
      </w:r>
      <w:r>
        <w:rPr>
          <w:rFonts w:ascii="David" w:hAnsi="David"/>
          <w:b/>
          <w:bCs/>
          <w:sz w:val="26"/>
          <w:szCs w:val="26"/>
          <w:rtl/>
        </w:rPr>
        <w:t xml:space="preserve"> על המזיק הטוען לניכוי תגמולי המוסד לביטוח לאומי מהפיצוי מוטל הנטל להוכיח את עצם קבלת התגמולים מהמוסד לביטוח לאומי, כמו גם את סכומם, </w:t>
      </w:r>
      <w:r>
        <w:rPr>
          <w:rFonts w:ascii="David" w:hAnsi="David"/>
          <w:sz w:val="26"/>
          <w:szCs w:val="26"/>
          <w:rtl/>
        </w:rPr>
        <w:t xml:space="preserve">(ראו למשל רע"א 5670/10 </w:t>
      </w:r>
      <w:r>
        <w:rPr>
          <w:rFonts w:ascii="David" w:hAnsi="David"/>
          <w:b/>
          <w:bCs/>
          <w:sz w:val="26"/>
          <w:szCs w:val="26"/>
          <w:rtl/>
        </w:rPr>
        <w:t>פלוני נ' הכשרת הישוב חברה לביטוח בע"מ</w:t>
      </w:r>
      <w:r>
        <w:rPr>
          <w:rFonts w:ascii="David" w:hAnsi="David"/>
          <w:sz w:val="26"/>
          <w:szCs w:val="26"/>
          <w:rtl/>
        </w:rPr>
        <w:t xml:space="preserve"> (מיום 19.8.2010</w:t>
      </w:r>
      <w:r w:rsidR="00A02CEC">
        <w:rPr>
          <w:rFonts w:ascii="David" w:hAnsi="David" w:hint="cs"/>
          <w:sz w:val="26"/>
          <w:szCs w:val="26"/>
          <w:rtl/>
        </w:rPr>
        <w:t>;</w:t>
      </w:r>
      <w:r>
        <w:rPr>
          <w:rFonts w:ascii="David" w:hAnsi="David"/>
          <w:sz w:val="26"/>
          <w:szCs w:val="26"/>
          <w:rtl/>
        </w:rPr>
        <w:t xml:space="preserve"> רע"א 1459/10 </w:t>
      </w:r>
      <w:r>
        <w:rPr>
          <w:rFonts w:ascii="David" w:hAnsi="David"/>
          <w:b/>
          <w:bCs/>
          <w:sz w:val="26"/>
          <w:szCs w:val="26"/>
          <w:rtl/>
        </w:rPr>
        <w:t>המוסד לביטוח לאומי נ' כלל חברה לביטוח בע"מ</w:t>
      </w:r>
      <w:r>
        <w:rPr>
          <w:rFonts w:ascii="David" w:hAnsi="David"/>
          <w:sz w:val="26"/>
          <w:szCs w:val="26"/>
          <w:rtl/>
        </w:rPr>
        <w:t xml:space="preserve"> </w:t>
      </w:r>
      <w:r>
        <w:rPr>
          <w:sz w:val="26"/>
          <w:szCs w:val="26"/>
          <w:rtl/>
        </w:rPr>
        <w:t xml:space="preserve"> </w:t>
      </w:r>
      <w:r>
        <w:rPr>
          <w:rFonts w:ascii="David" w:hAnsi="David"/>
          <w:sz w:val="26"/>
          <w:szCs w:val="26"/>
          <w:rtl/>
        </w:rPr>
        <w:t xml:space="preserve">(מיום 27.3.2011); רע"א 9388/12 </w:t>
      </w:r>
      <w:r>
        <w:rPr>
          <w:rFonts w:ascii="David" w:hAnsi="David"/>
          <w:b/>
          <w:bCs/>
          <w:sz w:val="26"/>
          <w:szCs w:val="26"/>
          <w:rtl/>
        </w:rPr>
        <w:t xml:space="preserve">מנורה חברה לביטוח בע"מ נ' ליוונוב </w:t>
      </w:r>
      <w:r>
        <w:rPr>
          <w:rFonts w:ascii="David" w:hAnsi="David"/>
          <w:sz w:val="26"/>
          <w:szCs w:val="26"/>
          <w:rtl/>
        </w:rPr>
        <w:t xml:space="preserve">(מיום 28.5.2013)). </w:t>
      </w:r>
    </w:p>
    <w:p w:rsidR="008E1F04" w:rsidRDefault="008E1F04" w:rsidP="00A02CEC">
      <w:pPr>
        <w:numPr>
          <w:ilvl w:val="0"/>
          <w:numId w:val="1"/>
        </w:numPr>
        <w:spacing w:line="360" w:lineRule="auto"/>
        <w:contextualSpacing/>
        <w:jc w:val="both"/>
        <w:rPr>
          <w:rFonts w:ascii="David" w:hAnsi="David"/>
          <w:sz w:val="26"/>
          <w:szCs w:val="26"/>
        </w:rPr>
      </w:pPr>
      <w:r>
        <w:rPr>
          <w:rFonts w:ascii="David" w:hAnsi="David"/>
          <w:sz w:val="26"/>
          <w:szCs w:val="26"/>
          <w:rtl/>
        </w:rPr>
        <w:t xml:space="preserve">בענייננו לא הגיש הנתבע נתונים כלשהם בדבר גמלאות המוסד לביטוח לאומי שמקבלת התובעת, </w:t>
      </w:r>
      <w:r w:rsidR="00A02CEC">
        <w:rPr>
          <w:rFonts w:ascii="David" w:hAnsi="David" w:hint="cs"/>
          <w:sz w:val="26"/>
          <w:szCs w:val="26"/>
          <w:rtl/>
        </w:rPr>
        <w:t xml:space="preserve">אף </w:t>
      </w:r>
      <w:r>
        <w:rPr>
          <w:rFonts w:ascii="David" w:hAnsi="David"/>
          <w:sz w:val="26"/>
          <w:szCs w:val="26"/>
          <w:rtl/>
        </w:rPr>
        <w:t xml:space="preserve">לא ביקש לנכות או להקפיא סכום כלשהו על חשבון תגמולי המל"ל העתידיים. התובעת מצדה הודתה כי יש לנכות מהפיצוי את תגמולי המל"ל להם היא זכאית, לעבר ולעתיד (עד 2.2.2024), </w:t>
      </w:r>
      <w:r w:rsidR="00A02CEC">
        <w:rPr>
          <w:rFonts w:ascii="David" w:hAnsi="David" w:hint="cs"/>
          <w:sz w:val="26"/>
          <w:szCs w:val="26"/>
          <w:rtl/>
        </w:rPr>
        <w:t>המועד שבו</w:t>
      </w:r>
      <w:r>
        <w:rPr>
          <w:rFonts w:ascii="David" w:hAnsi="David"/>
          <w:sz w:val="26"/>
          <w:szCs w:val="26"/>
          <w:rtl/>
        </w:rPr>
        <w:t xml:space="preserve"> מסתיימת נכותה הזמנית), בסכום של 215,291 ₪.</w:t>
      </w:r>
    </w:p>
    <w:p w:rsidR="008E1F04" w:rsidRDefault="008E1F04" w:rsidP="00A02CEC">
      <w:pPr>
        <w:numPr>
          <w:ilvl w:val="0"/>
          <w:numId w:val="1"/>
        </w:numPr>
        <w:spacing w:line="360" w:lineRule="auto"/>
        <w:contextualSpacing/>
        <w:jc w:val="both"/>
        <w:rPr>
          <w:rFonts w:ascii="David" w:hAnsi="David"/>
          <w:sz w:val="26"/>
          <w:szCs w:val="26"/>
        </w:rPr>
      </w:pPr>
      <w:r>
        <w:rPr>
          <w:rFonts w:ascii="David" w:hAnsi="David"/>
          <w:sz w:val="26"/>
          <w:szCs w:val="26"/>
          <w:rtl/>
        </w:rPr>
        <w:t xml:space="preserve">מצאתי שיש לנכות מהפיצוי את הסכום האמור בהתאם </w:t>
      </w:r>
      <w:r w:rsidR="00A02CEC">
        <w:rPr>
          <w:rFonts w:ascii="David" w:hAnsi="David"/>
          <w:sz w:val="26"/>
          <w:szCs w:val="26"/>
          <w:rtl/>
        </w:rPr>
        <w:t>בהתאם לתחשיב שערכה</w:t>
      </w:r>
      <w:r w:rsidR="00A02CEC">
        <w:rPr>
          <w:rFonts w:ascii="David" w:hAnsi="David" w:hint="cs"/>
          <w:sz w:val="26"/>
          <w:szCs w:val="26"/>
          <w:rtl/>
        </w:rPr>
        <w:t xml:space="preserve"> התובעת</w:t>
      </w:r>
      <w:r>
        <w:rPr>
          <w:rFonts w:ascii="David" w:hAnsi="David"/>
          <w:sz w:val="26"/>
          <w:szCs w:val="26"/>
          <w:rtl/>
        </w:rPr>
        <w:t xml:space="preserve">. </w:t>
      </w:r>
    </w:p>
    <w:p w:rsidR="008E1F04" w:rsidRDefault="008E1F04" w:rsidP="008E1F04">
      <w:pPr>
        <w:spacing w:line="360" w:lineRule="auto"/>
        <w:contextualSpacing/>
        <w:jc w:val="both"/>
        <w:rPr>
          <w:rFonts w:ascii="David" w:hAnsi="David"/>
          <w:b/>
          <w:bCs/>
          <w:sz w:val="26"/>
          <w:szCs w:val="26"/>
          <w:u w:val="single"/>
        </w:rPr>
      </w:pPr>
      <w:r>
        <w:rPr>
          <w:rFonts w:ascii="David" w:hAnsi="David"/>
          <w:b/>
          <w:bCs/>
          <w:sz w:val="26"/>
          <w:szCs w:val="26"/>
          <w:u w:val="single"/>
          <w:rtl/>
        </w:rPr>
        <w:t>סיכום</w:t>
      </w:r>
    </w:p>
    <w:p w:rsidR="008E1F04" w:rsidRDefault="008E1F04" w:rsidP="008E1F04">
      <w:pPr>
        <w:numPr>
          <w:ilvl w:val="0"/>
          <w:numId w:val="1"/>
        </w:numPr>
        <w:spacing w:line="360" w:lineRule="auto"/>
        <w:contextualSpacing/>
        <w:jc w:val="both"/>
        <w:rPr>
          <w:rFonts w:ascii="David" w:hAnsi="David"/>
          <w:sz w:val="26"/>
          <w:szCs w:val="26"/>
        </w:rPr>
      </w:pPr>
      <w:r>
        <w:rPr>
          <w:rFonts w:ascii="David" w:hAnsi="David"/>
          <w:sz w:val="26"/>
          <w:szCs w:val="26"/>
          <w:rtl/>
        </w:rPr>
        <w:t xml:space="preserve"> </w:t>
      </w:r>
      <w:r>
        <w:rPr>
          <w:rFonts w:ascii="David" w:hAnsi="David" w:hint="cs"/>
          <w:sz w:val="26"/>
          <w:szCs w:val="26"/>
          <w:rtl/>
        </w:rPr>
        <w:t>אשר על כן אני פוסקת לתובעת פיצוי כדלקמן:</w:t>
      </w:r>
    </w:p>
    <w:p w:rsidR="008E1F04" w:rsidRDefault="008E1F04" w:rsidP="008E1F04">
      <w:pPr>
        <w:spacing w:line="360" w:lineRule="auto"/>
        <w:contextualSpacing/>
        <w:jc w:val="both"/>
        <w:rPr>
          <w:rFonts w:ascii="David" w:hAnsi="David"/>
          <w:sz w:val="26"/>
          <w:szCs w:val="26"/>
        </w:rPr>
      </w:pPr>
    </w:p>
    <w:p w:rsidR="008E1F04" w:rsidRDefault="008E1F04" w:rsidP="008E1F04">
      <w:pPr>
        <w:spacing w:line="360" w:lineRule="auto"/>
        <w:contextualSpacing/>
        <w:jc w:val="both"/>
        <w:rPr>
          <w:b/>
          <w:bCs/>
          <w:sz w:val="26"/>
          <w:szCs w:val="26"/>
          <w:rtl/>
        </w:rPr>
      </w:pPr>
    </w:p>
    <w:p w:rsidR="008E1F04" w:rsidRDefault="008E1F04" w:rsidP="008E1F04">
      <w:pPr>
        <w:spacing w:line="360" w:lineRule="auto"/>
        <w:ind w:left="720" w:firstLine="720"/>
        <w:contextualSpacing/>
        <w:jc w:val="both"/>
        <w:rPr>
          <w:sz w:val="26"/>
          <w:szCs w:val="26"/>
          <w:rtl/>
        </w:rPr>
      </w:pPr>
      <w:r>
        <w:rPr>
          <w:sz w:val="26"/>
          <w:szCs w:val="26"/>
          <w:rtl/>
        </w:rPr>
        <w:t xml:space="preserve">כאב וסבל  - </w:t>
      </w:r>
      <w:r>
        <w:rPr>
          <w:sz w:val="26"/>
          <w:szCs w:val="26"/>
          <w:rtl/>
        </w:rPr>
        <w:tab/>
      </w:r>
      <w:r>
        <w:rPr>
          <w:sz w:val="26"/>
          <w:szCs w:val="26"/>
          <w:rtl/>
        </w:rPr>
        <w:tab/>
        <w:t xml:space="preserve"> </w:t>
      </w:r>
      <w:r>
        <w:rPr>
          <w:sz w:val="26"/>
          <w:szCs w:val="26"/>
          <w:rtl/>
        </w:rPr>
        <w:tab/>
        <w:t xml:space="preserve">            </w:t>
      </w:r>
      <w:r>
        <w:rPr>
          <w:sz w:val="26"/>
          <w:szCs w:val="26"/>
          <w:rtl/>
        </w:rPr>
        <w:tab/>
        <w:t xml:space="preserve">  600,000 ₪;</w:t>
      </w:r>
    </w:p>
    <w:p w:rsidR="008E1F04" w:rsidRDefault="008E1F04" w:rsidP="008E1F04">
      <w:pPr>
        <w:spacing w:line="360" w:lineRule="auto"/>
        <w:contextualSpacing/>
        <w:rPr>
          <w:sz w:val="26"/>
          <w:szCs w:val="26"/>
          <w:rtl/>
        </w:rPr>
      </w:pPr>
      <w:r>
        <w:rPr>
          <w:sz w:val="26"/>
          <w:szCs w:val="26"/>
          <w:rtl/>
        </w:rPr>
        <w:tab/>
      </w:r>
      <w:r>
        <w:rPr>
          <w:sz w:val="26"/>
          <w:szCs w:val="26"/>
          <w:rtl/>
        </w:rPr>
        <w:tab/>
        <w:t>הפסדי הכנסה בעבר-                                300,253 ₪;</w:t>
      </w:r>
    </w:p>
    <w:p w:rsidR="008E1F04" w:rsidRDefault="008E1F04" w:rsidP="008E1F04">
      <w:pPr>
        <w:spacing w:line="360" w:lineRule="auto"/>
        <w:ind w:left="720" w:firstLine="720"/>
        <w:contextualSpacing/>
        <w:rPr>
          <w:sz w:val="26"/>
          <w:szCs w:val="26"/>
          <w:rtl/>
        </w:rPr>
      </w:pPr>
      <w:r>
        <w:rPr>
          <w:sz w:val="26"/>
          <w:szCs w:val="26"/>
          <w:rtl/>
        </w:rPr>
        <w:t xml:space="preserve">גריעה מכושר השתכרות - </w:t>
      </w:r>
      <w:r>
        <w:rPr>
          <w:sz w:val="26"/>
          <w:szCs w:val="26"/>
          <w:rtl/>
        </w:rPr>
        <w:tab/>
      </w:r>
      <w:r>
        <w:rPr>
          <w:sz w:val="26"/>
          <w:szCs w:val="26"/>
          <w:rtl/>
        </w:rPr>
        <w:tab/>
        <w:t xml:space="preserve">   396,414 ₪;</w:t>
      </w:r>
    </w:p>
    <w:p w:rsidR="008E1F04" w:rsidRDefault="008E1F04" w:rsidP="008E1F04">
      <w:pPr>
        <w:spacing w:line="360" w:lineRule="auto"/>
        <w:contextualSpacing/>
        <w:rPr>
          <w:sz w:val="26"/>
          <w:szCs w:val="26"/>
          <w:rtl/>
        </w:rPr>
      </w:pPr>
      <w:r>
        <w:rPr>
          <w:sz w:val="26"/>
          <w:szCs w:val="26"/>
          <w:rtl/>
        </w:rPr>
        <w:tab/>
      </w:r>
      <w:r>
        <w:rPr>
          <w:sz w:val="26"/>
          <w:szCs w:val="26"/>
          <w:rtl/>
        </w:rPr>
        <w:tab/>
        <w:t>הפסדי פנסיה –</w:t>
      </w:r>
      <w:r>
        <w:rPr>
          <w:sz w:val="26"/>
          <w:szCs w:val="26"/>
          <w:rtl/>
        </w:rPr>
        <w:tab/>
        <w:t xml:space="preserve">                                          87,083 ₪; </w:t>
      </w:r>
    </w:p>
    <w:p w:rsidR="008E1F04" w:rsidRDefault="008E1F04" w:rsidP="008E1F04">
      <w:pPr>
        <w:spacing w:line="360" w:lineRule="auto"/>
        <w:contextualSpacing/>
        <w:rPr>
          <w:sz w:val="26"/>
          <w:szCs w:val="26"/>
          <w:rtl/>
        </w:rPr>
      </w:pPr>
      <w:r>
        <w:rPr>
          <w:sz w:val="26"/>
          <w:szCs w:val="26"/>
          <w:rtl/>
        </w:rPr>
        <w:tab/>
      </w:r>
      <w:r>
        <w:rPr>
          <w:sz w:val="26"/>
          <w:szCs w:val="26"/>
          <w:rtl/>
        </w:rPr>
        <w:tab/>
        <w:t xml:space="preserve">הוצאות -     </w:t>
      </w:r>
      <w:r>
        <w:rPr>
          <w:sz w:val="26"/>
          <w:szCs w:val="26"/>
          <w:rtl/>
        </w:rPr>
        <w:tab/>
      </w:r>
      <w:r>
        <w:rPr>
          <w:sz w:val="26"/>
          <w:szCs w:val="26"/>
          <w:rtl/>
        </w:rPr>
        <w:tab/>
        <w:t xml:space="preserve">  </w:t>
      </w:r>
      <w:r>
        <w:rPr>
          <w:sz w:val="26"/>
          <w:szCs w:val="26"/>
          <w:rtl/>
        </w:rPr>
        <w:tab/>
        <w:t xml:space="preserve">               100,000 ₪ ;</w:t>
      </w:r>
    </w:p>
    <w:p w:rsidR="008E1F04" w:rsidRDefault="008E1F04" w:rsidP="008E1F04">
      <w:pPr>
        <w:spacing w:line="360" w:lineRule="auto"/>
        <w:contextualSpacing/>
        <w:rPr>
          <w:sz w:val="26"/>
          <w:szCs w:val="26"/>
          <w:rtl/>
        </w:rPr>
      </w:pPr>
      <w:r>
        <w:rPr>
          <w:sz w:val="26"/>
          <w:szCs w:val="26"/>
          <w:rtl/>
        </w:rPr>
        <w:tab/>
      </w:r>
      <w:r>
        <w:rPr>
          <w:sz w:val="26"/>
          <w:szCs w:val="26"/>
          <w:rtl/>
        </w:rPr>
        <w:tab/>
        <w:t xml:space="preserve">עזרת הזולת - </w:t>
      </w:r>
      <w:r>
        <w:rPr>
          <w:sz w:val="26"/>
          <w:szCs w:val="26"/>
          <w:rtl/>
        </w:rPr>
        <w:tab/>
      </w:r>
      <w:r>
        <w:rPr>
          <w:sz w:val="26"/>
          <w:szCs w:val="26"/>
          <w:rtl/>
        </w:rPr>
        <w:tab/>
      </w:r>
      <w:r>
        <w:rPr>
          <w:sz w:val="26"/>
          <w:szCs w:val="26"/>
          <w:rtl/>
        </w:rPr>
        <w:tab/>
        <w:t xml:space="preserve">       </w:t>
      </w:r>
      <w:r>
        <w:rPr>
          <w:sz w:val="26"/>
          <w:szCs w:val="26"/>
          <w:rtl/>
        </w:rPr>
        <w:tab/>
        <w:t xml:space="preserve">    30,000 ₪ ;</w:t>
      </w:r>
    </w:p>
    <w:p w:rsidR="008E1F04" w:rsidRDefault="008E1F04" w:rsidP="008E1F04">
      <w:pPr>
        <w:spacing w:line="360" w:lineRule="auto"/>
        <w:contextualSpacing/>
        <w:rPr>
          <w:sz w:val="26"/>
          <w:szCs w:val="26"/>
          <w:rtl/>
        </w:rPr>
      </w:pPr>
      <w:r>
        <w:rPr>
          <w:b/>
          <w:bCs/>
          <w:sz w:val="26"/>
          <w:szCs w:val="26"/>
          <w:rtl/>
        </w:rPr>
        <w:t xml:space="preserve">            </w:t>
      </w:r>
      <w:r>
        <w:rPr>
          <w:sz w:val="26"/>
          <w:szCs w:val="26"/>
          <w:rtl/>
        </w:rPr>
        <w:tab/>
      </w:r>
      <w:r>
        <w:rPr>
          <w:sz w:val="26"/>
          <w:szCs w:val="26"/>
          <w:rtl/>
        </w:rPr>
        <w:tab/>
        <w:t>בניכוי הפיצוי שנפסק בהליך הפלילי-        50,000 ₪;</w:t>
      </w:r>
    </w:p>
    <w:p w:rsidR="008E1F04" w:rsidRDefault="008E1F04" w:rsidP="008E1F04">
      <w:pPr>
        <w:spacing w:line="360" w:lineRule="auto"/>
        <w:contextualSpacing/>
        <w:rPr>
          <w:sz w:val="26"/>
          <w:szCs w:val="26"/>
          <w:rtl/>
        </w:rPr>
      </w:pPr>
      <w:r>
        <w:rPr>
          <w:sz w:val="26"/>
          <w:szCs w:val="26"/>
          <w:rtl/>
        </w:rPr>
        <w:t xml:space="preserve">            </w:t>
      </w:r>
      <w:r>
        <w:rPr>
          <w:sz w:val="26"/>
          <w:szCs w:val="26"/>
          <w:rtl/>
        </w:rPr>
        <w:tab/>
      </w:r>
      <w:r>
        <w:rPr>
          <w:sz w:val="26"/>
          <w:szCs w:val="26"/>
          <w:rtl/>
        </w:rPr>
        <w:tab/>
        <w:t xml:space="preserve">בניכוי תגמולי המל"ל-                             </w:t>
      </w:r>
      <w:r>
        <w:rPr>
          <w:rFonts w:ascii="David" w:hAnsi="David"/>
          <w:sz w:val="26"/>
          <w:szCs w:val="26"/>
          <w:rtl/>
        </w:rPr>
        <w:t xml:space="preserve">215,291 </w:t>
      </w:r>
      <w:r>
        <w:rPr>
          <w:sz w:val="26"/>
          <w:szCs w:val="26"/>
          <w:rtl/>
        </w:rPr>
        <w:t>₪.</w:t>
      </w:r>
    </w:p>
    <w:p w:rsidR="008E1F04" w:rsidRDefault="008E1F04" w:rsidP="008E1F04">
      <w:pPr>
        <w:spacing w:line="360" w:lineRule="auto"/>
        <w:contextualSpacing/>
        <w:rPr>
          <w:sz w:val="26"/>
          <w:szCs w:val="26"/>
          <w:rtl/>
        </w:rPr>
      </w:pPr>
      <w:r>
        <w:rPr>
          <w:sz w:val="26"/>
          <w:szCs w:val="26"/>
          <w:rtl/>
        </w:rPr>
        <w:t xml:space="preserve">           </w:t>
      </w:r>
      <w:r>
        <w:rPr>
          <w:sz w:val="26"/>
          <w:szCs w:val="26"/>
          <w:rtl/>
        </w:rPr>
        <w:tab/>
      </w:r>
      <w:r>
        <w:rPr>
          <w:sz w:val="26"/>
          <w:szCs w:val="26"/>
          <w:rtl/>
        </w:rPr>
        <w:tab/>
        <w:t xml:space="preserve">___________      </w:t>
      </w:r>
      <w:r>
        <w:rPr>
          <w:sz w:val="26"/>
          <w:szCs w:val="26"/>
          <w:rtl/>
        </w:rPr>
        <w:tab/>
      </w:r>
      <w:r>
        <w:rPr>
          <w:sz w:val="26"/>
          <w:szCs w:val="26"/>
          <w:rtl/>
        </w:rPr>
        <w:tab/>
      </w:r>
      <w:r>
        <w:rPr>
          <w:sz w:val="26"/>
          <w:szCs w:val="26"/>
          <w:rtl/>
        </w:rPr>
        <w:tab/>
        <w:t>________</w:t>
      </w:r>
    </w:p>
    <w:p w:rsidR="008E1F04" w:rsidRDefault="008E1F04" w:rsidP="008E1F04">
      <w:pPr>
        <w:spacing w:line="360" w:lineRule="auto"/>
        <w:contextualSpacing/>
        <w:rPr>
          <w:sz w:val="26"/>
          <w:szCs w:val="26"/>
          <w:rtl/>
        </w:rPr>
      </w:pPr>
      <w:r>
        <w:rPr>
          <w:sz w:val="26"/>
          <w:szCs w:val="26"/>
          <w:rtl/>
        </w:rPr>
        <w:t xml:space="preserve">         </w:t>
      </w:r>
      <w:r>
        <w:rPr>
          <w:sz w:val="26"/>
          <w:szCs w:val="26"/>
          <w:rtl/>
        </w:rPr>
        <w:tab/>
      </w:r>
      <w:r>
        <w:rPr>
          <w:sz w:val="26"/>
          <w:szCs w:val="26"/>
          <w:rtl/>
        </w:rPr>
        <w:tab/>
        <w:t xml:space="preserve">סה"כ  </w:t>
      </w:r>
      <w:r>
        <w:rPr>
          <w:sz w:val="26"/>
          <w:szCs w:val="26"/>
          <w:rtl/>
        </w:rPr>
        <w:tab/>
      </w:r>
      <w:r>
        <w:rPr>
          <w:sz w:val="26"/>
          <w:szCs w:val="26"/>
          <w:rtl/>
        </w:rPr>
        <w:tab/>
      </w:r>
      <w:r>
        <w:rPr>
          <w:sz w:val="26"/>
          <w:szCs w:val="26"/>
          <w:rtl/>
        </w:rPr>
        <w:tab/>
        <w:t xml:space="preserve">                        </w:t>
      </w:r>
      <w:r>
        <w:rPr>
          <w:b/>
          <w:bCs/>
          <w:sz w:val="26"/>
          <w:szCs w:val="26"/>
          <w:rtl/>
        </w:rPr>
        <w:t>1,248,459</w:t>
      </w:r>
      <w:r>
        <w:rPr>
          <w:sz w:val="26"/>
          <w:szCs w:val="26"/>
          <w:rtl/>
        </w:rPr>
        <w:t xml:space="preserve"> ₪ </w:t>
      </w:r>
      <w:r>
        <w:rPr>
          <w:sz w:val="26"/>
          <w:szCs w:val="26"/>
          <w:rtl/>
        </w:rPr>
        <w:tab/>
      </w:r>
      <w:r>
        <w:rPr>
          <w:sz w:val="26"/>
          <w:szCs w:val="26"/>
          <w:rtl/>
        </w:rPr>
        <w:tab/>
      </w:r>
    </w:p>
    <w:p w:rsidR="008E1F04" w:rsidRDefault="008E1F04" w:rsidP="008E1F04">
      <w:pPr>
        <w:spacing w:line="360" w:lineRule="auto"/>
        <w:contextualSpacing/>
        <w:jc w:val="both"/>
        <w:rPr>
          <w:rFonts w:ascii="Arial" w:hAnsi="Arial"/>
          <w:rtl/>
        </w:rPr>
      </w:pPr>
      <w:r>
        <w:rPr>
          <w:rFonts w:ascii="Arial" w:hAnsi="Arial"/>
          <w:rtl/>
        </w:rPr>
        <w:tab/>
      </w:r>
    </w:p>
    <w:p w:rsidR="008E1F04" w:rsidRDefault="008E1F04" w:rsidP="008E1F04">
      <w:pPr>
        <w:spacing w:line="360" w:lineRule="auto"/>
        <w:contextualSpacing/>
        <w:jc w:val="both"/>
        <w:rPr>
          <w:rFonts w:ascii="Arial" w:hAnsi="Arial"/>
          <w:rtl/>
        </w:rPr>
      </w:pPr>
      <w:r>
        <w:rPr>
          <w:rFonts w:ascii="Arial" w:hAnsi="Arial"/>
          <w:rtl/>
        </w:rPr>
        <w:tab/>
      </w:r>
    </w:p>
    <w:p w:rsidR="008E1F04" w:rsidRDefault="008E1F04" w:rsidP="008E1F04">
      <w:pPr>
        <w:numPr>
          <w:ilvl w:val="0"/>
          <w:numId w:val="1"/>
        </w:numPr>
        <w:spacing w:line="360" w:lineRule="auto"/>
        <w:contextualSpacing/>
        <w:jc w:val="both"/>
        <w:rPr>
          <w:rFonts w:ascii="Arial" w:hAnsi="Arial"/>
          <w:sz w:val="26"/>
          <w:szCs w:val="26"/>
          <w:rtl/>
        </w:rPr>
      </w:pPr>
      <w:r>
        <w:rPr>
          <w:rFonts w:ascii="Arial" w:hAnsi="Arial"/>
          <w:sz w:val="26"/>
          <w:szCs w:val="26"/>
          <w:rtl/>
        </w:rPr>
        <w:t xml:space="preserve">הסכומים הנקובים לעיל הם בערכי יום מתן פסק הדין. </w:t>
      </w:r>
    </w:p>
    <w:p w:rsidR="008E1F04" w:rsidRDefault="008E1F04" w:rsidP="008E1F04">
      <w:pPr>
        <w:numPr>
          <w:ilvl w:val="0"/>
          <w:numId w:val="1"/>
        </w:numPr>
        <w:spacing w:line="360" w:lineRule="auto"/>
        <w:contextualSpacing/>
        <w:jc w:val="both"/>
        <w:rPr>
          <w:rFonts w:ascii="Arial" w:hAnsi="Arial"/>
          <w:sz w:val="26"/>
          <w:szCs w:val="26"/>
          <w:rtl/>
        </w:rPr>
      </w:pPr>
      <w:r>
        <w:rPr>
          <w:rFonts w:ascii="Arial" w:hAnsi="Arial"/>
          <w:sz w:val="26"/>
          <w:szCs w:val="26"/>
          <w:rtl/>
        </w:rPr>
        <w:lastRenderedPageBreak/>
        <w:t xml:space="preserve">הנתבע ישלם את הפיצוי לתובעת בתוך 30 ימים. כמו כן ישלם הנתבע לתובעת במועד האמור את הוצאותיה, וכן שכ"ט עו"ד </w:t>
      </w:r>
      <w:r w:rsidR="00A02CEC">
        <w:rPr>
          <w:rFonts w:ascii="Arial" w:hAnsi="Arial" w:hint="cs"/>
          <w:sz w:val="26"/>
          <w:szCs w:val="26"/>
          <w:rtl/>
        </w:rPr>
        <w:t xml:space="preserve">(כולל מע"מ) </w:t>
      </w:r>
      <w:r>
        <w:rPr>
          <w:rFonts w:ascii="Arial" w:hAnsi="Arial"/>
          <w:sz w:val="26"/>
          <w:szCs w:val="26"/>
          <w:rtl/>
        </w:rPr>
        <w:t xml:space="preserve">בשיעור </w:t>
      </w:r>
      <w:r>
        <w:rPr>
          <w:rFonts w:ascii="David" w:hAnsi="David"/>
          <w:sz w:val="26"/>
          <w:szCs w:val="26"/>
          <w:rtl/>
        </w:rPr>
        <w:t>של 23.4% מהסכום שנפסק</w:t>
      </w:r>
      <w:r>
        <w:rPr>
          <w:rFonts w:ascii="Arial" w:hAnsi="Arial"/>
          <w:sz w:val="26"/>
          <w:szCs w:val="26"/>
          <w:rtl/>
        </w:rPr>
        <w:t>.</w:t>
      </w:r>
    </w:p>
    <w:p w:rsidR="008E1F04" w:rsidRDefault="008E1F04" w:rsidP="008E1F04">
      <w:pPr>
        <w:numPr>
          <w:ilvl w:val="0"/>
          <w:numId w:val="1"/>
        </w:numPr>
        <w:spacing w:line="360" w:lineRule="auto"/>
        <w:contextualSpacing/>
        <w:jc w:val="both"/>
        <w:rPr>
          <w:rFonts w:ascii="David" w:hAnsi="David"/>
          <w:noProof w:val="0"/>
          <w:sz w:val="26"/>
          <w:szCs w:val="26"/>
        </w:rPr>
      </w:pPr>
      <w:r>
        <w:rPr>
          <w:rFonts w:ascii="Arial" w:hAnsi="Arial"/>
          <w:sz w:val="26"/>
          <w:szCs w:val="26"/>
          <w:rtl/>
        </w:rPr>
        <w:t xml:space="preserve">ככל שהסכומים האמורים לא ישלמו במועד שנקבע, יישאו הסכומים הפרשי הצמדה וריבית כחוק, עד יום התשלום בפועל. </w:t>
      </w:r>
    </w:p>
    <w:p w:rsidR="008E1F04" w:rsidRDefault="008E1F04" w:rsidP="008E1F04">
      <w:pPr>
        <w:spacing w:line="360" w:lineRule="auto"/>
        <w:ind w:left="720"/>
        <w:contextualSpacing/>
        <w:jc w:val="both"/>
        <w:rPr>
          <w:rFonts w:ascii="David" w:hAnsi="David"/>
          <w:sz w:val="26"/>
          <w:szCs w:val="26"/>
        </w:rPr>
      </w:pPr>
    </w:p>
    <w:p w:rsidR="008E1F04" w:rsidRDefault="008E1F04" w:rsidP="008E1F04">
      <w:pPr>
        <w:spacing w:line="360" w:lineRule="auto"/>
        <w:jc w:val="both"/>
        <w:rPr>
          <w:rFonts w:ascii="Arial" w:hAnsi="Arial"/>
          <w:color w:val="FFFFFF"/>
          <w:sz w:val="2"/>
          <w:szCs w:val="2"/>
          <w:rtl/>
        </w:rPr>
      </w:pPr>
      <w:r>
        <w:rPr>
          <w:rFonts w:ascii="Arial" w:hAnsi="Arial"/>
          <w:color w:val="FFFFFF"/>
          <w:sz w:val="2"/>
          <w:szCs w:val="2"/>
          <w:rtl/>
        </w:rPr>
        <w:t>5129371</w:t>
      </w:r>
    </w:p>
    <w:p w:rsidR="008E1F04" w:rsidRDefault="008E1F04" w:rsidP="008E1F04">
      <w:pPr>
        <w:spacing w:line="360" w:lineRule="auto"/>
        <w:jc w:val="both"/>
        <w:rPr>
          <w:rFonts w:ascii="Arial" w:hAnsi="Arial"/>
          <w:b/>
          <w:bCs/>
          <w:color w:val="FFFFFF"/>
          <w:sz w:val="2"/>
          <w:szCs w:val="2"/>
          <w:rtl/>
        </w:rPr>
      </w:pPr>
      <w:r>
        <w:rPr>
          <w:rFonts w:ascii="Arial" w:hAnsi="Arial"/>
          <w:b/>
          <w:bCs/>
          <w:color w:val="FFFFFF"/>
          <w:sz w:val="2"/>
          <w:szCs w:val="2"/>
          <w:rtl/>
        </w:rPr>
        <w:t>5</w:t>
      </w:r>
    </w:p>
    <w:p w:rsidR="008E1F04" w:rsidRDefault="008E1F04" w:rsidP="008E1F04">
      <w:pPr>
        <w:spacing w:line="360" w:lineRule="auto"/>
        <w:jc w:val="both"/>
        <w:rPr>
          <w:rFonts w:ascii="Arial" w:hAnsi="Arial"/>
          <w:b/>
          <w:bCs/>
          <w:rtl/>
        </w:rPr>
      </w:pPr>
      <w:r>
        <w:rPr>
          <w:rFonts w:ascii="Arial" w:hAnsi="Arial"/>
          <w:b/>
          <w:bCs/>
          <w:color w:val="FFFFFF"/>
          <w:sz w:val="2"/>
          <w:szCs w:val="2"/>
          <w:rtl/>
        </w:rPr>
        <w:t>13</w:t>
      </w:r>
      <w:r>
        <w:rPr>
          <w:rFonts w:ascii="Arial" w:hAnsi="Arial"/>
          <w:b/>
          <w:bCs/>
          <w:rtl/>
        </w:rPr>
        <w:t>ניתן לפרסם את פסק הדין ללא פרטים מזהים.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יוני 2023</w:t>
          </w:r>
        </w:sdtContent>
      </w:sdt>
      <w:r w:rsidR="00005C8B">
        <w:rPr>
          <w:rFonts w:ascii="Arial" w:hAnsi="Arial"/>
          <w:noProof w:val="0"/>
          <w:rtl/>
        </w:rPr>
        <w:t>, בהעדר הצדדים.</w:t>
      </w:r>
    </w:p>
    <w:p w:rsidR="00C43648" w:rsidRDefault="008516E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50034985"/>
        </w:sdtPr>
        <w:sdtEndPr/>
        <w:sdtContent>
          <w:r w:rsidR="007752CD">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6EF" w:rsidRDefault="008516EF">
      <w:r>
        <w:separator/>
      </w:r>
    </w:p>
  </w:endnote>
  <w:endnote w:type="continuationSeparator" w:id="0">
    <w:p w:rsidR="008516EF" w:rsidRDefault="0085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2109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21091">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6EF" w:rsidRDefault="008516EF">
      <w:r>
        <w:separator/>
      </w:r>
    </w:p>
  </w:footnote>
  <w:footnote w:type="continuationSeparator" w:id="0">
    <w:p w:rsidR="008516EF" w:rsidRDefault="00851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516EF"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68463-11-19</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w:t>
              </w:r>
              <w:r w:rsidR="00CE0CA0">
                <w:rPr>
                  <w:rFonts w:hint="cs"/>
                  <w:b/>
                  <w:bCs/>
                  <w:noProof w:val="0"/>
                  <w:sz w:val="26"/>
                  <w:szCs w:val="26"/>
                  <w:rtl/>
                </w:rPr>
                <w:t>ת</w:t>
              </w:r>
              <w:r w:rsidR="00B859C5">
                <w:rPr>
                  <w:b/>
                  <w:bCs/>
                  <w:noProof w:val="0"/>
                  <w:sz w:val="26"/>
                  <w:szCs w:val="26"/>
                  <w:rtl/>
                </w:rPr>
                <w:t xml:space="preserve"> נ' הראל</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80C50"/>
    <w:multiLevelType w:val="hybridMultilevel"/>
    <w:tmpl w:val="B784B208"/>
    <w:lvl w:ilvl="0" w:tplc="FFE235D0">
      <w:start w:val="1"/>
      <w:numFmt w:val="decimal"/>
      <w:lvlText w:val="%1."/>
      <w:lvlJc w:val="left"/>
      <w:pPr>
        <w:tabs>
          <w:tab w:val="num" w:pos="1080"/>
        </w:tabs>
        <w:ind w:left="1080" w:hanging="720"/>
      </w:pPr>
      <w:rPr>
        <w:rFonts w:ascii="Times New Roman" w:hAnsi="Times New Roman" w:cs="David" w:hint="default"/>
      </w:rPr>
    </w:lvl>
    <w:lvl w:ilvl="1" w:tplc="4654807A">
      <w:start w:val="1"/>
      <w:numFmt w:val="hebrew1"/>
      <w:lvlText w:val="%2."/>
      <w:lvlJc w:val="left"/>
      <w:pPr>
        <w:tabs>
          <w:tab w:val="num" w:pos="900"/>
        </w:tabs>
        <w:ind w:left="900" w:hanging="360"/>
      </w:pPr>
      <w:rPr>
        <w:rFonts w:ascii="David" w:hAnsi="David" w:cs="David" w:hint="default"/>
        <w:sz w:val="24"/>
        <w:szCs w:val="24"/>
      </w:rPr>
    </w:lvl>
    <w:lvl w:ilvl="2" w:tplc="040D001B">
      <w:start w:val="1"/>
      <w:numFmt w:val="lowerRoman"/>
      <w:lvlText w:val="%3."/>
      <w:lvlJc w:val="right"/>
      <w:pPr>
        <w:tabs>
          <w:tab w:val="num" w:pos="2160"/>
        </w:tabs>
        <w:ind w:left="2160" w:hanging="180"/>
      </w:pPr>
      <w:rPr>
        <w:rFonts w:ascii="Times New Roman" w:hAnsi="Times New Roman" w:cs="Times New Roman"/>
      </w:rPr>
    </w:lvl>
    <w:lvl w:ilvl="3" w:tplc="040D000F">
      <w:start w:val="1"/>
      <w:numFmt w:val="decimal"/>
      <w:lvlText w:val="%4."/>
      <w:lvlJc w:val="left"/>
      <w:pPr>
        <w:tabs>
          <w:tab w:val="num" w:pos="2880"/>
        </w:tabs>
        <w:ind w:left="2880" w:hanging="360"/>
      </w:pPr>
      <w:rPr>
        <w:rFonts w:ascii="Times New Roman" w:hAnsi="Times New Roman" w:cs="Times New Roman"/>
      </w:rPr>
    </w:lvl>
    <w:lvl w:ilvl="4" w:tplc="040D0019">
      <w:start w:val="1"/>
      <w:numFmt w:val="lowerLetter"/>
      <w:lvlText w:val="%5."/>
      <w:lvlJc w:val="left"/>
      <w:pPr>
        <w:tabs>
          <w:tab w:val="num" w:pos="3600"/>
        </w:tabs>
        <w:ind w:left="3600" w:hanging="360"/>
      </w:pPr>
      <w:rPr>
        <w:rFonts w:ascii="Times New Roman" w:hAnsi="Times New Roman" w:cs="Times New Roman"/>
      </w:rPr>
    </w:lvl>
    <w:lvl w:ilvl="5" w:tplc="040D001B">
      <w:start w:val="1"/>
      <w:numFmt w:val="lowerRoman"/>
      <w:lvlText w:val="%6."/>
      <w:lvlJc w:val="right"/>
      <w:pPr>
        <w:tabs>
          <w:tab w:val="num" w:pos="4320"/>
        </w:tabs>
        <w:ind w:left="4320" w:hanging="180"/>
      </w:pPr>
      <w:rPr>
        <w:rFonts w:ascii="Times New Roman" w:hAnsi="Times New Roman" w:cs="Times New Roman"/>
      </w:rPr>
    </w:lvl>
    <w:lvl w:ilvl="6" w:tplc="040D000F">
      <w:start w:val="1"/>
      <w:numFmt w:val="decimal"/>
      <w:lvlText w:val="%7."/>
      <w:lvlJc w:val="left"/>
      <w:pPr>
        <w:tabs>
          <w:tab w:val="num" w:pos="5040"/>
        </w:tabs>
        <w:ind w:left="5040" w:hanging="360"/>
      </w:pPr>
      <w:rPr>
        <w:rFonts w:ascii="Times New Roman" w:hAnsi="Times New Roman" w:cs="Times New Roman"/>
      </w:rPr>
    </w:lvl>
    <w:lvl w:ilvl="7" w:tplc="040D0019">
      <w:start w:val="1"/>
      <w:numFmt w:val="lowerLetter"/>
      <w:lvlText w:val="%8."/>
      <w:lvlJc w:val="left"/>
      <w:pPr>
        <w:tabs>
          <w:tab w:val="num" w:pos="5760"/>
        </w:tabs>
        <w:ind w:left="5760" w:hanging="360"/>
      </w:pPr>
      <w:rPr>
        <w:rFonts w:ascii="Times New Roman" w:hAnsi="Times New Roman" w:cs="Times New Roman"/>
      </w:rPr>
    </w:lvl>
    <w:lvl w:ilvl="8" w:tplc="040D001B">
      <w:start w:val="1"/>
      <w:numFmt w:val="lowerRoman"/>
      <w:lvlText w:val="%9."/>
      <w:lvlJc w:val="right"/>
      <w:pPr>
        <w:tabs>
          <w:tab w:val="num" w:pos="6480"/>
        </w:tabs>
        <w:ind w:left="6480" w:hanging="180"/>
      </w:pPr>
      <w:rPr>
        <w:rFonts w:ascii="Times New Roman" w:hAnsi="Times New Roman" w:cs="Times New Roman"/>
      </w:rPr>
    </w:lvl>
  </w:abstractNum>
  <w:abstractNum w:abstractNumId="1" w15:restartNumberingAfterBreak="0">
    <w:nsid w:val="449C5642"/>
    <w:multiLevelType w:val="hybridMultilevel"/>
    <w:tmpl w:val="AE1AAC80"/>
    <w:lvl w:ilvl="0" w:tplc="0409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0889"/>
    <w:rsid w:val="001367BC"/>
    <w:rsid w:val="00144D2A"/>
    <w:rsid w:val="0014653E"/>
    <w:rsid w:val="00180519"/>
    <w:rsid w:val="00191C82"/>
    <w:rsid w:val="001C4003"/>
    <w:rsid w:val="001D4DBF"/>
    <w:rsid w:val="001E75CA"/>
    <w:rsid w:val="00221091"/>
    <w:rsid w:val="002265FF"/>
    <w:rsid w:val="00227AC3"/>
    <w:rsid w:val="00271B56"/>
    <w:rsid w:val="00272E32"/>
    <w:rsid w:val="002C344E"/>
    <w:rsid w:val="002E75E9"/>
    <w:rsid w:val="002F0B1E"/>
    <w:rsid w:val="003007A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752CD"/>
    <w:rsid w:val="00795365"/>
    <w:rsid w:val="007A351D"/>
    <w:rsid w:val="007B7765"/>
    <w:rsid w:val="007C2453"/>
    <w:rsid w:val="007C5BDD"/>
    <w:rsid w:val="007D45E3"/>
    <w:rsid w:val="007E6115"/>
    <w:rsid w:val="007F4609"/>
    <w:rsid w:val="00805EFF"/>
    <w:rsid w:val="00814468"/>
    <w:rsid w:val="008176A1"/>
    <w:rsid w:val="00820005"/>
    <w:rsid w:val="00844318"/>
    <w:rsid w:val="008516EF"/>
    <w:rsid w:val="00860102"/>
    <w:rsid w:val="00863F5D"/>
    <w:rsid w:val="00870890"/>
    <w:rsid w:val="00873602"/>
    <w:rsid w:val="00875D12"/>
    <w:rsid w:val="00876170"/>
    <w:rsid w:val="0088479D"/>
    <w:rsid w:val="00891F42"/>
    <w:rsid w:val="00896889"/>
    <w:rsid w:val="008A6E97"/>
    <w:rsid w:val="008C5714"/>
    <w:rsid w:val="008D10B2"/>
    <w:rsid w:val="008E1F04"/>
    <w:rsid w:val="00903896"/>
    <w:rsid w:val="00906F3D"/>
    <w:rsid w:val="00927060"/>
    <w:rsid w:val="0094424E"/>
    <w:rsid w:val="00955642"/>
    <w:rsid w:val="009622DF"/>
    <w:rsid w:val="0096493F"/>
    <w:rsid w:val="00967DFF"/>
    <w:rsid w:val="00994341"/>
    <w:rsid w:val="009D1A48"/>
    <w:rsid w:val="009E1CE7"/>
    <w:rsid w:val="009E461A"/>
    <w:rsid w:val="009E4EA5"/>
    <w:rsid w:val="009F164B"/>
    <w:rsid w:val="009F323C"/>
    <w:rsid w:val="00A02CE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6306"/>
    <w:rsid w:val="00B5356E"/>
    <w:rsid w:val="00B809AD"/>
    <w:rsid w:val="00B80CBD"/>
    <w:rsid w:val="00B859C5"/>
    <w:rsid w:val="00B86096"/>
    <w:rsid w:val="00B964D9"/>
    <w:rsid w:val="00BA0A7C"/>
    <w:rsid w:val="00BA517C"/>
    <w:rsid w:val="00BA74BD"/>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E0CA0"/>
    <w:rsid w:val="00CE74CD"/>
    <w:rsid w:val="00CF6BB7"/>
    <w:rsid w:val="00D04AA4"/>
    <w:rsid w:val="00D27982"/>
    <w:rsid w:val="00D33B86"/>
    <w:rsid w:val="00D44968"/>
    <w:rsid w:val="00D53924"/>
    <w:rsid w:val="00D55D0C"/>
    <w:rsid w:val="00D757F4"/>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7486E"/>
    <w:rsid w:val="00E80CBE"/>
    <w:rsid w:val="00E9269D"/>
    <w:rsid w:val="00E962E3"/>
    <w:rsid w:val="00EB6C79"/>
    <w:rsid w:val="00EC37E9"/>
    <w:rsid w:val="00EC4693"/>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E1F04"/>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msolistparagraph0">
    <w:name w:val="msolistparagraph"/>
    <w:basedOn w:val="a"/>
    <w:rsid w:val="008E1F04"/>
    <w:pPr>
      <w:overflowPunct w:val="0"/>
      <w:autoSpaceDE w:val="0"/>
      <w:autoSpaceDN w:val="0"/>
      <w:adjustRightInd w:val="0"/>
      <w:ind w:left="720"/>
    </w:pPr>
    <w:rPr>
      <w:noProof w:val="0"/>
      <w:sz w:val="20"/>
    </w:rPr>
  </w:style>
  <w:style w:type="paragraph" w:customStyle="1" w:styleId="Ruller5">
    <w:name w:val="Ruller5"/>
    <w:basedOn w:val="a"/>
    <w:rsid w:val="008E1F04"/>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886363">
      <w:bodyDiv w:val="1"/>
      <w:marLeft w:val="0"/>
      <w:marRight w:val="0"/>
      <w:marTop w:val="0"/>
      <w:marBottom w:val="0"/>
      <w:divBdr>
        <w:top w:val="none" w:sz="0" w:space="0" w:color="auto"/>
        <w:left w:val="none" w:sz="0" w:space="0" w:color="auto"/>
        <w:bottom w:val="none" w:sz="0" w:space="0" w:color="auto"/>
        <w:right w:val="none" w:sz="0" w:space="0" w:color="auto"/>
      </w:divBdr>
    </w:div>
    <w:div w:id="90999685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D1508" w:rsidP="00BD1508">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C27A5"/>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D1508"/>
    <w:rsid w:val="00BE6557"/>
    <w:rsid w:val="00C96C06"/>
    <w:rsid w:val="00CE1DCB"/>
    <w:rsid w:val="00D24521"/>
    <w:rsid w:val="00E31BF6"/>
    <w:rsid w:val="00E81DB1"/>
    <w:rsid w:val="00ED4E5E"/>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150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D150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3101</Words>
  <Characters>15505</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2023-06-05T08:37:00Z</dcterms:created>
  <dcterms:modified xsi:type="dcterms:W3CDTF">2023-06-05T08:37:00Z</dcterms:modified>
</cp:coreProperties>
</file>